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hint="default" w:ascii="Times New Roman" w:hAnsi="Times New Roman" w:eastAsia="方正小标宋_GBK" w:cs="Times New Roman"/>
          <w:color w:val="auto"/>
          <w:kern w:val="0"/>
          <w:sz w:val="44"/>
          <w:szCs w:val="44"/>
          <w:highlight w:val="none"/>
        </w:rPr>
      </w:pPr>
    </w:p>
    <w:p>
      <w:pPr>
        <w:pStyle w:val="2"/>
        <w:rPr>
          <w:rFonts w:hint="default"/>
          <w:color w:val="auto"/>
          <w:highlight w:val="none"/>
        </w:rPr>
      </w:pPr>
    </w:p>
    <w:p>
      <w:pPr>
        <w:widowControl/>
        <w:spacing w:before="100" w:beforeAutospacing="1" w:after="100" w:afterAutospacing="1"/>
        <w:jc w:val="center"/>
        <w:outlineLvl w:val="1"/>
        <w:rPr>
          <w:rFonts w:hint="default" w:ascii="Times New Roman" w:hAnsi="Times New Roman" w:eastAsia="方正小标宋_GBK" w:cs="Times New Roman"/>
          <w:color w:val="auto"/>
          <w:kern w:val="0"/>
          <w:sz w:val="44"/>
          <w:szCs w:val="44"/>
          <w:highlight w:val="none"/>
        </w:rPr>
      </w:pPr>
    </w:p>
    <w:p>
      <w:pPr>
        <w:widowControl/>
        <w:spacing w:before="100" w:beforeAutospacing="1" w:after="100" w:afterAutospacing="1"/>
        <w:jc w:val="center"/>
        <w:outlineLvl w:val="1"/>
        <w:rPr>
          <w:rFonts w:hint="eastAsia" w:eastAsia="方正小标宋_GBK" w:cs="Times New Roman"/>
          <w:color w:val="auto"/>
          <w:kern w:val="0"/>
          <w:sz w:val="44"/>
          <w:szCs w:val="44"/>
          <w:highlight w:val="none"/>
          <w:lang w:val="en-US" w:eastAsia="zh-CN"/>
        </w:rPr>
      </w:pPr>
      <w:r>
        <w:rPr>
          <w:rFonts w:hint="eastAsia" w:eastAsia="方正小标宋_GBK" w:cs="Times New Roman"/>
          <w:color w:val="auto"/>
          <w:kern w:val="0"/>
          <w:sz w:val="44"/>
          <w:szCs w:val="44"/>
          <w:highlight w:val="none"/>
          <w:lang w:val="en-US" w:eastAsia="zh-CN"/>
        </w:rPr>
        <w:t>2026年乌鲁木齐市第127中学</w:t>
      </w:r>
    </w:p>
    <w:p>
      <w:pPr>
        <w:widowControl/>
        <w:spacing w:before="100" w:beforeAutospacing="1" w:after="100" w:afterAutospacing="1"/>
        <w:jc w:val="center"/>
        <w:outlineLvl w:val="1"/>
        <w:rPr>
          <w:rFonts w:hint="default" w:ascii="Times New Roman" w:hAnsi="Times New Roman" w:eastAsia="方正小标宋_GBK" w:cs="Times New Roman"/>
          <w:color w:val="auto"/>
          <w:kern w:val="0"/>
          <w:sz w:val="44"/>
          <w:szCs w:val="44"/>
          <w:highlight w:val="none"/>
        </w:rPr>
      </w:pPr>
      <w:r>
        <w:rPr>
          <w:rFonts w:hint="default" w:ascii="Times New Roman" w:hAnsi="Times New Roman" w:eastAsia="方正小标宋_GBK" w:cs="Times New Roman"/>
          <w:color w:val="auto"/>
          <w:kern w:val="0"/>
          <w:sz w:val="44"/>
          <w:szCs w:val="44"/>
          <w:highlight w:val="none"/>
        </w:rPr>
        <w:t>单位预算公开</w:t>
      </w:r>
    </w:p>
    <w:p>
      <w:pPr>
        <w:widowControl/>
        <w:spacing w:line="440" w:lineRule="exact"/>
        <w:jc w:val="both"/>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center"/>
        <w:outlineLvl w:val="1"/>
        <w:rPr>
          <w:rFonts w:hint="default" w:ascii="Times New Roman" w:hAnsi="Times New Roman" w:eastAsia="黑体" w:cs="Times New Roman"/>
          <w:color w:val="auto"/>
          <w:kern w:val="0"/>
          <w:sz w:val="36"/>
          <w:szCs w:val="32"/>
          <w:highlight w:val="none"/>
        </w:rPr>
      </w:pPr>
    </w:p>
    <w:p>
      <w:pPr>
        <w:widowControl/>
        <w:spacing w:line="440" w:lineRule="exact"/>
        <w:jc w:val="both"/>
        <w:outlineLvl w:val="1"/>
        <w:rPr>
          <w:rFonts w:hint="default" w:ascii="Times New Roman" w:hAnsi="Times New Roman" w:eastAsia="黑体" w:cs="Times New Roman"/>
          <w:color w:val="auto"/>
          <w:kern w:val="0"/>
          <w:sz w:val="36"/>
          <w:szCs w:val="32"/>
          <w:highlight w:val="none"/>
        </w:rPr>
      </w:pPr>
    </w:p>
    <w:p>
      <w:pPr>
        <w:widowControl/>
        <w:spacing w:line="440" w:lineRule="exact"/>
        <w:jc w:val="both"/>
        <w:outlineLvl w:val="1"/>
        <w:rPr>
          <w:rFonts w:hint="default" w:ascii="Times New Roman" w:hAnsi="Times New Roman" w:eastAsia="黑体" w:cs="Times New Roman"/>
          <w:color w:val="auto"/>
          <w:kern w:val="0"/>
          <w:sz w:val="36"/>
          <w:szCs w:val="32"/>
          <w:highlight w:val="none"/>
        </w:rPr>
        <w:sectPr>
          <w:footerReference r:id="rId5" w:type="default"/>
          <w:pgSz w:w="11906" w:h="16838"/>
          <w:pgMar w:top="2098" w:right="1418" w:bottom="1928" w:left="1588" w:header="907" w:footer="992" w:gutter="0"/>
          <w:pgBorders>
            <w:top w:val="none" w:sz="0" w:space="0"/>
            <w:left w:val="none" w:sz="0" w:space="0"/>
            <w:bottom w:val="none" w:sz="0" w:space="0"/>
            <w:right w:val="none" w:sz="0" w:space="0"/>
          </w:pgBorders>
          <w:pgNumType w:fmt="numberInDash" w:start="1"/>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目 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 xml:space="preserve">第一部分  </w:t>
      </w:r>
      <w:r>
        <w:rPr>
          <w:rFonts w:hint="eastAsia" w:eastAsia="仿宋_GB2312" w:cs="Times New Roman"/>
          <w:b/>
          <w:color w:val="auto"/>
          <w:kern w:val="0"/>
          <w:sz w:val="32"/>
          <w:szCs w:val="32"/>
          <w:highlight w:val="none"/>
          <w:lang w:val="en-US" w:eastAsia="zh-CN"/>
        </w:rPr>
        <w:t>2026</w:t>
      </w:r>
      <w:r>
        <w:rPr>
          <w:rFonts w:hint="default" w:ascii="Times New Roman" w:hAnsi="Times New Roman" w:eastAsia="仿宋_GB2312" w:cs="Times New Roman"/>
          <w:b/>
          <w:color w:val="auto"/>
          <w:kern w:val="0"/>
          <w:sz w:val="32"/>
          <w:szCs w:val="32"/>
          <w:highlight w:val="none"/>
          <w:lang w:val="en-US" w:eastAsia="zh-CN"/>
        </w:rPr>
        <w:t>年</w:t>
      </w:r>
      <w:r>
        <w:rPr>
          <w:rFonts w:hint="default" w:ascii="Times New Roman" w:hAnsi="Times New Roman" w:eastAsia="仿宋_GB2312" w:cs="Times New Roman"/>
          <w:b/>
          <w:color w:val="auto"/>
          <w:kern w:val="0"/>
          <w:sz w:val="32"/>
          <w:szCs w:val="32"/>
          <w:highlight w:val="none"/>
        </w:rPr>
        <w:t>单位概况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一、主要职能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二、机构设置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 xml:space="preserve">第二部分  </w:t>
      </w:r>
      <w:r>
        <w:rPr>
          <w:rFonts w:hint="eastAsia" w:eastAsia="仿宋_GB2312" w:cs="Times New Roman"/>
          <w:b/>
          <w:color w:val="auto"/>
          <w:kern w:val="0"/>
          <w:sz w:val="32"/>
          <w:szCs w:val="32"/>
          <w:highlight w:val="none"/>
          <w:lang w:val="en-US" w:eastAsia="zh-CN"/>
        </w:rPr>
        <w:t>2026</w:t>
      </w:r>
      <w:r>
        <w:rPr>
          <w:rFonts w:hint="default" w:ascii="Times New Roman" w:hAnsi="Times New Roman" w:eastAsia="仿宋_GB2312" w:cs="Times New Roman"/>
          <w:b/>
          <w:color w:val="auto"/>
          <w:kern w:val="0"/>
          <w:sz w:val="32"/>
          <w:szCs w:val="32"/>
          <w:highlight w:val="none"/>
        </w:rPr>
        <w:t>年单位预算公开表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一、单位收支总体情况表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二、单位收入总体情况表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三、单位支出总体情况表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四、财政拨款收支</w:t>
      </w:r>
      <w:r>
        <w:rPr>
          <w:rFonts w:hint="default" w:ascii="Times New Roman" w:hAnsi="Times New Roman" w:eastAsia="仿宋_GB2312" w:cs="Times New Roman"/>
          <w:color w:val="auto"/>
          <w:kern w:val="0"/>
          <w:sz w:val="32"/>
          <w:szCs w:val="32"/>
          <w:highlight w:val="none"/>
          <w:lang w:val="en-US" w:eastAsia="zh-CN"/>
        </w:rPr>
        <w:t>预算</w:t>
      </w:r>
      <w:r>
        <w:rPr>
          <w:rFonts w:hint="default" w:ascii="Times New Roman" w:hAnsi="Times New Roman" w:eastAsia="仿宋_GB2312" w:cs="Times New Roman"/>
          <w:color w:val="auto"/>
          <w:kern w:val="0"/>
          <w:sz w:val="32"/>
          <w:szCs w:val="32"/>
          <w:highlight w:val="none"/>
        </w:rPr>
        <w:t>总体情况表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五、一般公共预算支出情况表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六、一般公共预算基本支出情况表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七、一般公共预算</w:t>
      </w:r>
      <w:r>
        <w:rPr>
          <w:rFonts w:hint="default" w:ascii="Times New Roman" w:hAnsi="Times New Roman" w:eastAsia="仿宋_GB2312" w:cs="Times New Roman"/>
          <w:bCs/>
          <w:color w:val="auto"/>
          <w:kern w:val="0"/>
          <w:sz w:val="32"/>
          <w:szCs w:val="32"/>
          <w:highlight w:val="none"/>
        </w:rPr>
        <w:t>项目支出情况表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Hans"/>
        </w:rPr>
        <w:t>八</w:t>
      </w:r>
      <w:r>
        <w:rPr>
          <w:rFonts w:hint="default" w:ascii="Times New Roman" w:hAnsi="Times New Roman" w:eastAsia="仿宋_GB2312" w:cs="Times New Roman"/>
          <w:color w:val="auto"/>
          <w:kern w:val="0"/>
          <w:sz w:val="32"/>
          <w:szCs w:val="32"/>
          <w:highlight w:val="none"/>
        </w:rPr>
        <w:t>、政府性基金预算支出情况表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Hans"/>
        </w:rPr>
        <w:t>九、</w:t>
      </w:r>
      <w:r>
        <w:rPr>
          <w:rFonts w:hint="default" w:ascii="Times New Roman" w:hAnsi="Times New Roman" w:eastAsia="仿宋_GB2312" w:cs="Times New Roman"/>
          <w:color w:val="auto"/>
          <w:kern w:val="0"/>
          <w:sz w:val="32"/>
          <w:szCs w:val="32"/>
          <w:highlight w:val="none"/>
        </w:rPr>
        <w:t>国有资本经营预算支出情况表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Hans"/>
        </w:rPr>
      </w:pPr>
      <w:r>
        <w:rPr>
          <w:rFonts w:hint="default" w:ascii="Times New Roman" w:hAnsi="Times New Roman" w:eastAsia="仿宋_GB2312" w:cs="Times New Roman"/>
          <w:color w:val="auto"/>
          <w:kern w:val="0"/>
          <w:sz w:val="32"/>
          <w:szCs w:val="32"/>
          <w:highlight w:val="none"/>
          <w:lang w:val="en-US" w:eastAsia="zh-Hans"/>
        </w:rPr>
        <w:t>十、财政拨款“三公”经费支出情况表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十一、财政拨款委托业务费支出</w:t>
      </w:r>
      <w:r>
        <w:rPr>
          <w:rFonts w:hint="default" w:ascii="Times New Roman" w:hAnsi="Times New Roman" w:eastAsia="仿宋_GB2312" w:cs="Times New Roman"/>
          <w:color w:val="auto"/>
          <w:kern w:val="0"/>
          <w:sz w:val="32"/>
          <w:szCs w:val="32"/>
          <w:highlight w:val="none"/>
          <w:lang w:val="en-US" w:eastAsia="zh-Hans"/>
        </w:rPr>
        <w:t>情况表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Hans"/>
        </w:rPr>
      </w:pPr>
      <w:r>
        <w:rPr>
          <w:rFonts w:hint="default" w:ascii="Times New Roman" w:hAnsi="Times New Roman" w:eastAsia="仿宋_GB2312" w:cs="Times New Roman"/>
          <w:color w:val="auto"/>
          <w:kern w:val="0"/>
          <w:sz w:val="32"/>
          <w:szCs w:val="32"/>
          <w:highlight w:val="none"/>
          <w:lang w:val="en-US" w:eastAsia="zh-CN"/>
        </w:rPr>
        <w:t>十二、</w:t>
      </w:r>
      <w:r>
        <w:rPr>
          <w:rFonts w:hint="default" w:ascii="Times New Roman" w:hAnsi="Times New Roman" w:eastAsia="仿宋_GB2312" w:cs="Times New Roman"/>
          <w:color w:val="auto"/>
          <w:kern w:val="0"/>
          <w:sz w:val="32"/>
          <w:szCs w:val="32"/>
          <w:highlight w:val="none"/>
          <w:lang w:val="en-US" w:eastAsia="zh-Hans"/>
        </w:rPr>
        <w:t>上年结转</w:t>
      </w:r>
      <w:r>
        <w:rPr>
          <w:rFonts w:hint="default" w:ascii="Times New Roman" w:hAnsi="Times New Roman" w:eastAsia="仿宋_GB2312" w:cs="Times New Roman"/>
          <w:color w:val="auto"/>
          <w:kern w:val="0"/>
          <w:sz w:val="32"/>
          <w:szCs w:val="32"/>
          <w:highlight w:val="none"/>
          <w:lang w:val="en-US" w:eastAsia="zh-CN"/>
        </w:rPr>
        <w:t>结余</w:t>
      </w:r>
      <w:r>
        <w:rPr>
          <w:rFonts w:hint="default" w:ascii="Times New Roman" w:hAnsi="Times New Roman" w:eastAsia="仿宋_GB2312" w:cs="Times New Roman"/>
          <w:color w:val="auto"/>
          <w:kern w:val="0"/>
          <w:sz w:val="32"/>
          <w:szCs w:val="32"/>
          <w:highlight w:val="none"/>
          <w:lang w:val="en-US" w:eastAsia="zh-Hans"/>
        </w:rPr>
        <w:t>情况表</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 xml:space="preserve">第三部分  </w:t>
      </w:r>
      <w:r>
        <w:rPr>
          <w:rFonts w:hint="eastAsia" w:eastAsia="仿宋_GB2312" w:cs="Times New Roman"/>
          <w:b/>
          <w:color w:val="auto"/>
          <w:kern w:val="0"/>
          <w:sz w:val="32"/>
          <w:szCs w:val="32"/>
          <w:highlight w:val="none"/>
          <w:lang w:val="en-US" w:eastAsia="zh-CN"/>
        </w:rPr>
        <w:t>2026</w:t>
      </w:r>
      <w:r>
        <w:rPr>
          <w:rFonts w:hint="default" w:ascii="Times New Roman" w:hAnsi="Times New Roman" w:eastAsia="仿宋_GB2312" w:cs="Times New Roman"/>
          <w:b/>
          <w:color w:val="auto"/>
          <w:kern w:val="0"/>
          <w:sz w:val="32"/>
          <w:szCs w:val="32"/>
          <w:highlight w:val="none"/>
        </w:rPr>
        <w:t>年单位预算情况说明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二、关于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年收入预算情况说明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三、关于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年支出预算情况说明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四、关于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bCs/>
          <w:color w:val="auto"/>
          <w:kern w:val="0"/>
          <w:sz w:val="32"/>
          <w:szCs w:val="32"/>
          <w:highlight w:val="none"/>
        </w:rPr>
        <w:t>财政拨款收支预算情况的总体说明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spacing w:val="-6"/>
          <w:kern w:val="0"/>
          <w:sz w:val="32"/>
          <w:szCs w:val="32"/>
          <w:highlight w:val="none"/>
        </w:rPr>
      </w:pPr>
      <w:r>
        <w:rPr>
          <w:rFonts w:hint="default" w:ascii="Times New Roman" w:hAnsi="Times New Roman" w:eastAsia="仿宋_GB2312" w:cs="Times New Roman"/>
          <w:color w:val="auto"/>
          <w:kern w:val="0"/>
          <w:sz w:val="32"/>
          <w:szCs w:val="32"/>
          <w:highlight w:val="none"/>
        </w:rPr>
        <w:t>五、</w:t>
      </w:r>
      <w:r>
        <w:rPr>
          <w:rFonts w:hint="default" w:ascii="Times New Roman" w:hAnsi="Times New Roman" w:eastAsia="仿宋_GB2312" w:cs="Times New Roman"/>
          <w:color w:val="auto"/>
          <w:spacing w:val="-6"/>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spacing w:val="-6"/>
          <w:kern w:val="0"/>
          <w:sz w:val="32"/>
          <w:szCs w:val="32"/>
          <w:highlight w:val="none"/>
        </w:rPr>
        <w:t>一般公共预算当年拨款情况说明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spacing w:val="-6"/>
          <w:kern w:val="0"/>
          <w:sz w:val="32"/>
          <w:szCs w:val="32"/>
          <w:highlight w:val="none"/>
        </w:rPr>
      </w:pPr>
      <w:r>
        <w:rPr>
          <w:rFonts w:hint="default" w:ascii="Times New Roman" w:hAnsi="Times New Roman" w:eastAsia="仿宋_GB2312" w:cs="Times New Roman"/>
          <w:color w:val="auto"/>
          <w:kern w:val="0"/>
          <w:sz w:val="32"/>
          <w:szCs w:val="32"/>
          <w:highlight w:val="none"/>
        </w:rPr>
        <w:t>六、</w:t>
      </w:r>
      <w:r>
        <w:rPr>
          <w:rFonts w:hint="default" w:ascii="Times New Roman" w:hAnsi="Times New Roman" w:eastAsia="仿宋_GB2312" w:cs="Times New Roman"/>
          <w:color w:val="auto"/>
          <w:spacing w:val="-6"/>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spacing w:val="-6"/>
          <w:kern w:val="0"/>
          <w:sz w:val="32"/>
          <w:szCs w:val="32"/>
          <w:highlight w:val="none"/>
        </w:rPr>
        <w:t>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spacing w:val="-6"/>
          <w:kern w:val="0"/>
          <w:sz w:val="32"/>
          <w:szCs w:val="32"/>
          <w:highlight w:val="none"/>
        </w:rPr>
      </w:pPr>
      <w:r>
        <w:rPr>
          <w:rFonts w:hint="default" w:ascii="Times New Roman" w:hAnsi="Times New Roman" w:eastAsia="仿宋_GB2312" w:cs="Times New Roman"/>
          <w:color w:val="auto"/>
          <w:kern w:val="0"/>
          <w:sz w:val="32"/>
          <w:szCs w:val="32"/>
          <w:highlight w:val="none"/>
        </w:rPr>
        <w:t>七、</w:t>
      </w:r>
      <w:r>
        <w:rPr>
          <w:rFonts w:hint="default" w:ascii="Times New Roman" w:hAnsi="Times New Roman" w:eastAsia="仿宋_GB2312" w:cs="Times New Roman"/>
          <w:color w:val="auto"/>
          <w:spacing w:val="-6"/>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spacing w:val="-6"/>
          <w:kern w:val="0"/>
          <w:sz w:val="32"/>
          <w:szCs w:val="32"/>
          <w:highlight w:val="none"/>
        </w:rPr>
        <w:t>一般公共预算项目支出情况说明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Hans"/>
        </w:rPr>
        <w:t>八</w:t>
      </w:r>
      <w:r>
        <w:rPr>
          <w:rFonts w:hint="default" w:ascii="Times New Roman" w:hAnsi="Times New Roman" w:eastAsia="仿宋_GB2312" w:cs="Times New Roman"/>
          <w:color w:val="auto"/>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年政府性基金预算拨款情况说明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Hans"/>
        </w:rPr>
        <w:t>九、</w:t>
      </w:r>
      <w:r>
        <w:rPr>
          <w:rFonts w:hint="default" w:ascii="Times New Roman" w:hAnsi="Times New Roman" w:eastAsia="仿宋_GB2312" w:cs="Times New Roman"/>
          <w:color w:val="auto"/>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年国有资本经营预算拨款情况说明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Hans"/>
        </w:rPr>
      </w:pPr>
      <w:r>
        <w:rPr>
          <w:rFonts w:hint="default" w:ascii="Times New Roman" w:hAnsi="Times New Roman" w:eastAsia="仿宋_GB2312" w:cs="Times New Roman"/>
          <w:color w:val="auto"/>
          <w:kern w:val="0"/>
          <w:sz w:val="32"/>
          <w:szCs w:val="32"/>
          <w:highlight w:val="none"/>
          <w:lang w:val="en-US" w:eastAsia="zh-Hans"/>
        </w:rPr>
        <w:t>十</w:t>
      </w:r>
      <w:r>
        <w:rPr>
          <w:rFonts w:hint="default" w:ascii="Times New Roman" w:hAnsi="Times New Roman" w:eastAsia="仿宋_GB2312" w:cs="Times New Roman"/>
          <w:color w:val="auto"/>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lang w:val="en-US" w:eastAsia="zh-Hans"/>
        </w:rPr>
        <w:t>财政拨款</w:t>
      </w:r>
      <w:r>
        <w:rPr>
          <w:rFonts w:hint="default" w:ascii="Times New Roman" w:hAnsi="Times New Roman" w:eastAsia="仿宋_GB2312" w:cs="Times New Roman"/>
          <w:color w:val="auto"/>
          <w:kern w:val="0"/>
          <w:sz w:val="32"/>
          <w:szCs w:val="32"/>
          <w:highlight w:val="none"/>
        </w:rPr>
        <w:t>“三公”经费预算情况说明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十</w:t>
      </w:r>
      <w:r>
        <w:rPr>
          <w:rFonts w:hint="default" w:ascii="Times New Roman" w:hAnsi="Times New Roman" w:eastAsia="仿宋_GB2312" w:cs="Times New Roman"/>
          <w:color w:val="auto"/>
          <w:kern w:val="0"/>
          <w:sz w:val="32"/>
          <w:szCs w:val="32"/>
          <w:highlight w:val="none"/>
          <w:lang w:val="en-US" w:eastAsia="zh-Hans"/>
        </w:rPr>
        <w:t>一</w:t>
      </w:r>
      <w:r>
        <w:rPr>
          <w:rFonts w:hint="default" w:ascii="Times New Roman" w:hAnsi="Times New Roman" w:eastAsia="仿宋_GB2312" w:cs="Times New Roman"/>
          <w:color w:val="auto"/>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lang w:val="en-US" w:eastAsia="zh-CN"/>
        </w:rPr>
        <w:t>财政拨款委托业务费支出情况说明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十</w:t>
      </w:r>
      <w:r>
        <w:rPr>
          <w:rFonts w:hint="default" w:ascii="Times New Roman" w:hAnsi="Times New Roman" w:eastAsia="仿宋_GB2312" w:cs="Times New Roman"/>
          <w:color w:val="auto"/>
          <w:kern w:val="0"/>
          <w:sz w:val="32"/>
          <w:szCs w:val="32"/>
          <w:highlight w:val="none"/>
          <w:lang w:val="en-US" w:eastAsia="zh-CN"/>
        </w:rPr>
        <w:t>二</w:t>
      </w:r>
      <w:r>
        <w:rPr>
          <w:rFonts w:hint="default" w:ascii="Times New Roman" w:hAnsi="Times New Roman" w:eastAsia="仿宋_GB2312" w:cs="Times New Roman"/>
          <w:color w:val="auto"/>
          <w:kern w:val="0"/>
          <w:sz w:val="32"/>
          <w:szCs w:val="32"/>
          <w:highlight w:val="none"/>
        </w:rPr>
        <w:t>、关于</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lang w:val="en-US" w:eastAsia="zh-CN"/>
        </w:rPr>
        <w:t>上年结转结余</w:t>
      </w:r>
      <w:r>
        <w:rPr>
          <w:rFonts w:hint="default" w:ascii="Times New Roman" w:hAnsi="Times New Roman" w:eastAsia="仿宋_GB2312" w:cs="Times New Roman"/>
          <w:color w:val="auto"/>
          <w:kern w:val="0"/>
          <w:sz w:val="32"/>
          <w:szCs w:val="32"/>
          <w:highlight w:val="none"/>
        </w:rPr>
        <w:t>预算情况说明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CN"/>
        </w:rPr>
        <w:t>十三、</w:t>
      </w:r>
      <w:r>
        <w:rPr>
          <w:rFonts w:hint="default" w:ascii="Times New Roman" w:hAnsi="Times New Roman" w:eastAsia="仿宋_GB2312" w:cs="Times New Roman"/>
          <w:color w:val="auto"/>
          <w:kern w:val="0"/>
          <w:sz w:val="32"/>
          <w:szCs w:val="32"/>
          <w:highlight w:val="none"/>
        </w:rPr>
        <w:t>其他重要事项的情况说明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9"/>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第四部分  名词解释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sectPr>
          <w:footerReference r:id="rId6" w:type="default"/>
          <w:pgSz w:w="11906" w:h="16838"/>
          <w:pgMar w:top="2098" w:right="1418" w:bottom="1928" w:left="1588" w:header="851" w:footer="992" w:gutter="0"/>
          <w:pgBorders>
            <w:top w:val="none" w:sz="0" w:space="0"/>
            <w:left w:val="none" w:sz="0" w:space="0"/>
            <w:bottom w:val="none" w:sz="0" w:space="0"/>
            <w:right w:val="none" w:sz="0" w:space="0"/>
          </w:pgBorders>
          <w:pgNumType w:fmt="numberInDash"/>
          <w:cols w:space="720" w:num="1"/>
          <w:docGrid w:linePitch="312" w:charSpace="0"/>
        </w:sectPr>
      </w:pPr>
    </w:p>
    <w:p>
      <w:pPr>
        <w:keepNext w:val="0"/>
        <w:keepLines w:val="0"/>
        <w:pageBreakBefore w:val="0"/>
        <w:widowControl/>
        <w:kinsoku/>
        <w:wordWrap/>
        <w:overflowPunct/>
        <w:topLinePunct w:val="0"/>
        <w:autoSpaceDE/>
        <w:autoSpaceDN/>
        <w:bidi w:val="0"/>
        <w:adjustRightInd/>
        <w:snapToGrid/>
        <w:spacing w:beforeLines="0" w:line="540" w:lineRule="exact"/>
        <w:jc w:val="center"/>
        <w:textAlignment w:val="auto"/>
        <w:outlineLvl w:val="1"/>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 xml:space="preserve">第一部分   </w:t>
      </w:r>
      <w:r>
        <w:rPr>
          <w:rFonts w:hint="eastAsia" w:eastAsia="黑体" w:cs="Times New Roman"/>
          <w:color w:val="auto"/>
          <w:kern w:val="0"/>
          <w:sz w:val="32"/>
          <w:szCs w:val="32"/>
          <w:highlight w:val="none"/>
          <w:lang w:val="en-US" w:eastAsia="zh-CN"/>
        </w:rPr>
        <w:t>2026</w:t>
      </w:r>
      <w:r>
        <w:rPr>
          <w:rFonts w:hint="default" w:ascii="Times New Roman" w:hAnsi="Times New Roman" w:eastAsia="黑体" w:cs="Times New Roman"/>
          <w:color w:val="auto"/>
          <w:kern w:val="0"/>
          <w:sz w:val="32"/>
          <w:szCs w:val="32"/>
          <w:highlight w:val="none"/>
          <w:lang w:val="en-US" w:eastAsia="zh-CN"/>
        </w:rPr>
        <w:t>年</w:t>
      </w:r>
      <w:r>
        <w:rPr>
          <w:rFonts w:hint="default" w:ascii="Times New Roman" w:hAnsi="Times New Roman" w:eastAsia="黑体" w:cs="Times New Roman"/>
          <w:color w:val="auto"/>
          <w:kern w:val="0"/>
          <w:sz w:val="32"/>
          <w:szCs w:val="32"/>
          <w:highlight w:val="none"/>
        </w:rPr>
        <w:t>单位概况</w:t>
      </w:r>
    </w:p>
    <w:p>
      <w:pPr>
        <w:keepNext w:val="0"/>
        <w:keepLines w:val="0"/>
        <w:pageBreakBefore w:val="0"/>
        <w:widowControl/>
        <w:kinsoku/>
        <w:wordWrap/>
        <w:overflowPunct/>
        <w:topLinePunct w:val="0"/>
        <w:autoSpaceDE/>
        <w:autoSpaceDN/>
        <w:bidi w:val="0"/>
        <w:adjustRightInd/>
        <w:snapToGrid/>
        <w:spacing w:beforeLines="0" w:line="540" w:lineRule="exact"/>
        <w:jc w:val="center"/>
        <w:textAlignment w:val="auto"/>
        <w:outlineLvl w:val="1"/>
        <w:rPr>
          <w:rFonts w:hint="default" w:ascii="Times New Roman" w:hAnsi="Times New Roman" w:cs="Times New Roman"/>
          <w:b/>
          <w:color w:val="auto"/>
          <w:kern w:val="0"/>
          <w:sz w:val="32"/>
          <w:szCs w:val="32"/>
          <w:highlight w:val="none"/>
        </w:rPr>
      </w:pPr>
    </w:p>
    <w:p>
      <w:pPr>
        <w:keepNext w:val="0"/>
        <w:keepLines w:val="0"/>
        <w:pageBreakBefore w:val="0"/>
        <w:widowControl/>
        <w:kinsoku/>
        <w:wordWrap/>
        <w:overflowPunct/>
        <w:topLinePunct w:val="0"/>
        <w:autoSpaceDE/>
        <w:autoSpaceDN/>
        <w:bidi w:val="0"/>
        <w:adjustRightInd/>
        <w:snapToGrid/>
        <w:spacing w:beforeLines="0" w:line="540" w:lineRule="exact"/>
        <w:ind w:firstLine="643" w:firstLineChars="200"/>
        <w:jc w:val="left"/>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一、主要职能</w:t>
      </w:r>
    </w:p>
    <w:p>
      <w:pPr>
        <w:keepNext w:val="0"/>
        <w:keepLines w:val="0"/>
        <w:pageBreakBefore w:val="0"/>
        <w:widowControl/>
        <w:kinsoku/>
        <w:wordWrap/>
        <w:overflowPunct/>
        <w:topLinePunct w:val="0"/>
        <w:autoSpaceDE/>
        <w:autoSpaceDN/>
        <w:bidi w:val="0"/>
        <w:adjustRightInd/>
        <w:snapToGrid/>
        <w:spacing w:beforeLines="0" w:line="540" w:lineRule="exact"/>
        <w:ind w:firstLine="640" w:firstLineChars="200"/>
        <w:jc w:val="both"/>
        <w:textAlignment w:val="auto"/>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乌鲁木齐市第127中学是一所九年一贯制义务教育中小学校，隶属于乌鲁木齐经济技术开发区（乌鲁木齐市头屯河区）教育局，是全额拨款单位。主要职能是承担所在辖区内中小学生学历教育，目前有两个校区，嵩山街校区位于开发区嵩山街257号，主要承担一至四年级教育教学工作；中亚南路校区位于开发区中亚南路20号，主要承担五至九年级的教育教学工作。</w:t>
      </w:r>
    </w:p>
    <w:p>
      <w:pPr>
        <w:keepNext w:val="0"/>
        <w:keepLines w:val="0"/>
        <w:pageBreakBefore w:val="0"/>
        <w:widowControl/>
        <w:kinsoku/>
        <w:wordWrap/>
        <w:overflowPunct/>
        <w:topLinePunct w:val="0"/>
        <w:autoSpaceDE/>
        <w:autoSpaceDN/>
        <w:bidi w:val="0"/>
        <w:adjustRightInd/>
        <w:snapToGrid/>
        <w:spacing w:beforeLines="0" w:line="540" w:lineRule="exact"/>
        <w:ind w:firstLine="640" w:firstLineChars="200"/>
        <w:jc w:val="both"/>
        <w:textAlignment w:val="auto"/>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学校以“教育一个孩子，影响一个家庭，带动一片区域”为</w:t>
      </w:r>
    </w:p>
    <w:p>
      <w:pPr>
        <w:keepNext w:val="0"/>
        <w:keepLines w:val="0"/>
        <w:pageBreakBefore w:val="0"/>
        <w:widowControl/>
        <w:kinsoku/>
        <w:wordWrap/>
        <w:overflowPunct/>
        <w:topLinePunct w:val="0"/>
        <w:autoSpaceDE/>
        <w:autoSpaceDN/>
        <w:bidi w:val="0"/>
        <w:adjustRightInd/>
        <w:snapToGrid/>
        <w:spacing w:beforeLines="0" w:line="540" w:lineRule="exact"/>
        <w:jc w:val="both"/>
        <w:textAlignment w:val="auto"/>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办学宗旨，以“做有思想的教师、教育有个性的孩子、办有文化</w:t>
      </w:r>
    </w:p>
    <w:p>
      <w:pPr>
        <w:keepNext w:val="0"/>
        <w:keepLines w:val="0"/>
        <w:pageBreakBefore w:val="0"/>
        <w:widowControl/>
        <w:kinsoku/>
        <w:wordWrap/>
        <w:overflowPunct/>
        <w:topLinePunct w:val="0"/>
        <w:autoSpaceDE/>
        <w:autoSpaceDN/>
        <w:bidi w:val="0"/>
        <w:adjustRightInd/>
        <w:snapToGrid/>
        <w:spacing w:beforeLines="0" w:line="540" w:lineRule="exact"/>
        <w:jc w:val="both"/>
        <w:textAlignment w:val="auto"/>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32"/>
          <w:szCs w:val="32"/>
          <w:highlight w:val="none"/>
        </w:rPr>
        <w:t>的学校”为办学愿景，“爱与责任”是学校“润心教育”校园文化核心内涵，“以爱育爱，以责育责”培养有爱心和责任心的孩子是我们共同肩负的责任。</w:t>
      </w:r>
    </w:p>
    <w:p>
      <w:pPr>
        <w:keepNext w:val="0"/>
        <w:keepLines w:val="0"/>
        <w:pageBreakBefore w:val="0"/>
        <w:widowControl/>
        <w:kinsoku/>
        <w:wordWrap/>
        <w:overflowPunct/>
        <w:topLinePunct w:val="0"/>
        <w:autoSpaceDE/>
        <w:autoSpaceDN/>
        <w:bidi w:val="0"/>
        <w:adjustRightInd/>
        <w:snapToGrid/>
        <w:spacing w:beforeLines="0" w:line="540" w:lineRule="exact"/>
        <w:ind w:firstLine="643" w:firstLineChars="200"/>
        <w:jc w:val="left"/>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二、机构设置</w:t>
      </w:r>
    </w:p>
    <w:p>
      <w:pPr>
        <w:keepNext w:val="0"/>
        <w:keepLines w:val="0"/>
        <w:pageBreakBefore w:val="0"/>
        <w:widowControl/>
        <w:kinsoku/>
        <w:wordWrap/>
        <w:overflowPunct/>
        <w:topLinePunct w:val="0"/>
        <w:autoSpaceDE/>
        <w:autoSpaceDN/>
        <w:bidi w:val="0"/>
        <w:adjustRightInd/>
        <w:snapToGrid/>
        <w:spacing w:beforeLines="0" w:line="540" w:lineRule="exact"/>
        <w:ind w:firstLine="640"/>
        <w:jc w:val="left"/>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bCs/>
          <w:color w:val="auto"/>
          <w:kern w:val="0"/>
          <w:sz w:val="32"/>
          <w:szCs w:val="32"/>
          <w:highlight w:val="none"/>
          <w:lang w:val="en-US" w:eastAsia="zh-CN"/>
        </w:rPr>
        <w:t>乌鲁木齐市第127中学</w:t>
      </w:r>
      <w:r>
        <w:rPr>
          <w:rFonts w:hint="default" w:ascii="Times New Roman" w:hAnsi="Times New Roman" w:eastAsia="仿宋_GB2312" w:cs="Times New Roman"/>
          <w:bCs/>
          <w:color w:val="auto"/>
          <w:kern w:val="0"/>
          <w:sz w:val="32"/>
          <w:szCs w:val="32"/>
          <w:highlight w:val="none"/>
        </w:rPr>
        <w:t>单位无下属预算单位</w:t>
      </w:r>
      <w:r>
        <w:rPr>
          <w:rFonts w:hint="default" w:ascii="Times New Roman" w:hAnsi="Times New Roman" w:eastAsia="仿宋_GB2312" w:cs="Times New Roman"/>
          <w:color w:val="auto"/>
          <w:kern w:val="0"/>
          <w:sz w:val="32"/>
          <w:szCs w:val="32"/>
          <w:highlight w:val="none"/>
        </w:rPr>
        <w:t>。</w:t>
      </w:r>
    </w:p>
    <w:p>
      <w:pPr>
        <w:rPr>
          <w:rFonts w:hint="default" w:ascii="Times New Roman" w:hAnsi="Times New Roman" w:cs="Times New Roman"/>
          <w:color w:val="auto"/>
          <w:highlight w:val="none"/>
          <w:lang w:eastAsia="zh-Hans"/>
        </w:rPr>
      </w:pPr>
      <w:r>
        <w:rPr>
          <w:rFonts w:hint="default" w:ascii="Times New Roman" w:hAnsi="Times New Roman" w:eastAsia="仿宋_GB2312" w:cs="Times New Roman"/>
          <w:color w:val="auto"/>
          <w:kern w:val="0"/>
          <w:sz w:val="32"/>
          <w:szCs w:val="32"/>
          <w:highlight w:val="none"/>
        </w:rPr>
        <w:br w:type="page"/>
      </w:r>
    </w:p>
    <w:p>
      <w:pPr>
        <w:keepNext w:val="0"/>
        <w:keepLines w:val="0"/>
        <w:pageBreakBefore w:val="0"/>
        <w:widowControl/>
        <w:kinsoku/>
        <w:wordWrap/>
        <w:overflowPunct/>
        <w:topLinePunct w:val="0"/>
        <w:autoSpaceDE/>
        <w:autoSpaceDN/>
        <w:bidi w:val="0"/>
        <w:adjustRightInd/>
        <w:snapToGrid/>
        <w:spacing w:before="0" w:beforeLines="0" w:line="440" w:lineRule="exact"/>
        <w:jc w:val="center"/>
        <w:textAlignment w:val="auto"/>
        <w:outlineLvl w:val="1"/>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 xml:space="preserve">第二部分  </w:t>
      </w:r>
      <w:r>
        <w:rPr>
          <w:rFonts w:hint="eastAsia" w:eastAsia="仿宋_GB2312" w:cs="Times New Roman"/>
          <w:b/>
          <w:color w:val="auto"/>
          <w:kern w:val="0"/>
          <w:sz w:val="32"/>
          <w:szCs w:val="32"/>
          <w:highlight w:val="none"/>
          <w:lang w:val="en-US" w:eastAsia="zh-CN"/>
        </w:rPr>
        <w:t>2026</w:t>
      </w:r>
      <w:r>
        <w:rPr>
          <w:rFonts w:hint="default" w:ascii="Times New Roman" w:hAnsi="Times New Roman" w:eastAsia="黑体" w:cs="Times New Roman"/>
          <w:color w:val="auto"/>
          <w:kern w:val="0"/>
          <w:sz w:val="32"/>
          <w:szCs w:val="32"/>
          <w:highlight w:val="none"/>
        </w:rPr>
        <w:t>年单位预算公开表</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表1</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1"/>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单位收支总体情况表</w:t>
      </w:r>
    </w:p>
    <w:p>
      <w:pPr>
        <w:widowControl/>
        <w:spacing w:line="280" w:lineRule="exact"/>
        <w:jc w:val="center"/>
        <w:outlineLvl w:val="1"/>
        <w:rPr>
          <w:rFonts w:hint="default" w:ascii="Times New Roman" w:hAnsi="Times New Roman" w:eastAsia="仿宋_GB2312" w:cs="Times New Roman"/>
          <w:b/>
          <w:color w:val="auto"/>
          <w:kern w:val="0"/>
          <w:sz w:val="32"/>
          <w:szCs w:val="32"/>
          <w:highlight w:val="none"/>
        </w:rPr>
      </w:pPr>
    </w:p>
    <w:p>
      <w:pPr>
        <w:widowControl/>
        <w:spacing w:line="280" w:lineRule="exact"/>
        <w:outlineLvl w:val="1"/>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w:t>
      </w:r>
      <w:r>
        <w:rPr>
          <w:rFonts w:hint="default" w:ascii="Times New Roman" w:hAnsi="Times New Roman" w:eastAsia="仿宋_GB2312" w:cs="Times New Roman"/>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单位：万元</w:t>
      </w:r>
    </w:p>
    <w:tbl>
      <w:tblPr>
        <w:tblStyle w:val="6"/>
        <w:tblW w:w="8662" w:type="dxa"/>
        <w:tblInd w:w="93" w:type="dxa"/>
        <w:tblLayout w:type="fixed"/>
        <w:tblCellMar>
          <w:top w:w="0" w:type="dxa"/>
          <w:left w:w="108" w:type="dxa"/>
          <w:bottom w:w="0" w:type="dxa"/>
          <w:right w:w="108" w:type="dxa"/>
        </w:tblCellMar>
      </w:tblPr>
      <w:tblGrid>
        <w:gridCol w:w="3165"/>
        <w:gridCol w:w="1103"/>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0"/>
            <w:vAlign w:val="bottom"/>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noWrap w:val="0"/>
            <w:vAlign w:val="bottom"/>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rPr>
              <w:t>支     出</w:t>
            </w: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b/>
                <w:color w:val="auto"/>
                <w:kern w:val="0"/>
                <w:sz w:val="20"/>
                <w:szCs w:val="20"/>
                <w:highlight w:val="none"/>
              </w:rPr>
              <w:t>项     目</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预算数</w:t>
            </w:r>
          </w:p>
        </w:tc>
        <w:tc>
          <w:tcPr>
            <w:tcW w:w="2693"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color w:val="auto"/>
                <w:kern w:val="0"/>
                <w:sz w:val="20"/>
                <w:szCs w:val="20"/>
                <w:highlight w:val="none"/>
                <w:lang w:eastAsia="zh-CN"/>
              </w:rPr>
            </w:pPr>
            <w:r>
              <w:rPr>
                <w:rFonts w:hint="default" w:ascii="Times New Roman" w:hAnsi="Times New Roman" w:eastAsia="仿宋_GB2312" w:cs="Times New Roman"/>
                <w:b/>
                <w:color w:val="auto"/>
                <w:kern w:val="0"/>
                <w:sz w:val="20"/>
                <w:szCs w:val="20"/>
                <w:highlight w:val="none"/>
                <w:lang w:val="en-US" w:eastAsia="zh-CN"/>
              </w:rPr>
              <w:t>科目名称</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预算数</w:t>
            </w: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一、本年收入</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4397.32</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1.一般公共预算拨款</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4170.36</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其中：一般财力</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3938.4</w:t>
            </w:r>
            <w:r>
              <w:rPr>
                <w:rFonts w:hint="eastAsia" w:ascii="Times New Roman" w:hAnsi="Times New Roman" w:eastAsia="仿宋_GB2312" w:cs="Times New Roman"/>
                <w:color w:val="auto"/>
                <w:kern w:val="0"/>
                <w:sz w:val="18"/>
                <w:szCs w:val="18"/>
                <w:highlight w:val="none"/>
                <w:lang w:val="en-US" w:eastAsia="zh-CN"/>
              </w:rPr>
              <w:t>1</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75"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上级一般公共预算安排转移支付</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231.95</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lang w:eastAsia="zh-CN"/>
              </w:rPr>
            </w:pPr>
            <w:r>
              <w:rPr>
                <w:rFonts w:hint="default" w:ascii="Times New Roman" w:hAnsi="Times New Roman" w:eastAsia="仿宋_GB2312" w:cs="Times New Roman"/>
                <w:color w:val="auto"/>
                <w:kern w:val="0"/>
                <w:sz w:val="18"/>
                <w:szCs w:val="18"/>
                <w:highlight w:val="none"/>
                <w:shd w:val="clear" w:color="auto" w:fill="auto"/>
              </w:rPr>
              <w:t>2.</w:t>
            </w:r>
            <w:r>
              <w:rPr>
                <w:rFonts w:hint="default" w:ascii="Times New Roman" w:hAnsi="Times New Roman" w:eastAsia="仿宋_GB2312" w:cs="Times New Roman"/>
                <w:color w:val="auto"/>
                <w:kern w:val="0"/>
                <w:sz w:val="18"/>
                <w:szCs w:val="18"/>
                <w:highlight w:val="none"/>
                <w:shd w:val="clear" w:color="auto" w:fill="auto"/>
                <w:lang w:val="en-US" w:eastAsia="zh-CN"/>
              </w:rPr>
              <w:t>政府性</w:t>
            </w:r>
            <w:r>
              <w:rPr>
                <w:rFonts w:hint="default" w:ascii="Times New Roman" w:hAnsi="Times New Roman" w:eastAsia="仿宋_GB2312" w:cs="Times New Roman"/>
                <w:color w:val="auto"/>
                <w:kern w:val="0"/>
                <w:sz w:val="18"/>
                <w:szCs w:val="18"/>
                <w:highlight w:val="none"/>
                <w:shd w:val="clear" w:color="auto" w:fill="auto"/>
              </w:rPr>
              <w:t>基金预算拨款</w:t>
            </w:r>
            <w:r>
              <w:rPr>
                <w:rFonts w:hint="default" w:ascii="Times New Roman" w:hAnsi="Times New Roman" w:eastAsia="仿宋_GB2312" w:cs="Times New Roman"/>
                <w:color w:val="auto"/>
                <w:kern w:val="0"/>
                <w:sz w:val="18"/>
                <w:szCs w:val="18"/>
                <w:highlight w:val="none"/>
                <w:shd w:val="clear" w:color="auto" w:fill="auto"/>
                <w:lang w:eastAsia="zh-CN"/>
              </w:rPr>
              <w:tab/>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3626.4</w:t>
            </w:r>
            <w:r>
              <w:rPr>
                <w:rFonts w:hint="eastAsia" w:eastAsia="仿宋_GB2312" w:cs="Times New Roman"/>
                <w:color w:val="auto"/>
                <w:kern w:val="0"/>
                <w:sz w:val="18"/>
                <w:szCs w:val="18"/>
                <w:highlight w:val="none"/>
                <w:lang w:val="en-US" w:eastAsia="zh-CN"/>
              </w:rPr>
              <w:t>9</w:t>
            </w: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其中：政府性基金收入</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上级政府性基金安排转移支付</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3.国有资本经营预算拨款</w:t>
            </w:r>
          </w:p>
        </w:tc>
        <w:tc>
          <w:tcPr>
            <w:tcW w:w="110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551.03</w:t>
            </w:r>
          </w:p>
        </w:tc>
      </w:tr>
      <w:tr>
        <w:tblPrEx>
          <w:tblCellMar>
            <w:top w:w="0" w:type="dxa"/>
            <w:left w:w="108" w:type="dxa"/>
            <w:bottom w:w="0" w:type="dxa"/>
            <w:right w:w="108" w:type="dxa"/>
          </w:tblCellMar>
        </w:tblPrEx>
        <w:trPr>
          <w:trHeight w:val="315"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其中：国有资本经营收入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297"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上级国有资本经营预算安排转移支付</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210</w:t>
            </w:r>
            <w:r>
              <w:rPr>
                <w:rFonts w:hint="default" w:ascii="Times New Roman" w:hAnsi="Times New Roman" w:eastAsia="仿宋_GB2312" w:cs="Times New Roman"/>
                <w:color w:val="auto"/>
                <w:kern w:val="0"/>
                <w:sz w:val="18"/>
                <w:szCs w:val="18"/>
                <w:highlight w:val="none"/>
                <w:lang w:val="en-US" w:eastAsia="zh-CN"/>
              </w:rPr>
              <w:t xml:space="preserve"> </w:t>
            </w:r>
            <w:r>
              <w:rPr>
                <w:rFonts w:hint="default" w:ascii="Times New Roman" w:hAnsi="Times New Roman" w:eastAsia="仿宋_GB2312" w:cs="Times New Roman"/>
                <w:color w:val="auto"/>
                <w:kern w:val="0"/>
                <w:sz w:val="18"/>
                <w:szCs w:val="18"/>
                <w:highlight w:val="none"/>
              </w:rPr>
              <w:t>卫生健康支出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224.34</w:t>
            </w: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4.财政专户核拨</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5.单位资金</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226.96</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其中：事业收入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上级补助收入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附属单位上缴收入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215 资源勘探</w:t>
            </w:r>
            <w:r>
              <w:rPr>
                <w:rFonts w:hint="default" w:ascii="Times New Roman" w:hAnsi="Times New Roman" w:eastAsia="仿宋_GB2312" w:cs="Times New Roman"/>
                <w:color w:val="auto"/>
                <w:kern w:val="0"/>
                <w:sz w:val="18"/>
                <w:szCs w:val="18"/>
                <w:highlight w:val="none"/>
                <w:lang w:val="en-US" w:eastAsia="zh-Hans"/>
              </w:rPr>
              <w:t>工业</w:t>
            </w:r>
            <w:r>
              <w:rPr>
                <w:rFonts w:hint="default" w:ascii="Times New Roman" w:hAnsi="Times New Roman" w:eastAsia="仿宋_GB2312" w:cs="Times New Roman"/>
                <w:color w:val="auto"/>
                <w:kern w:val="0"/>
                <w:sz w:val="18"/>
                <w:szCs w:val="18"/>
                <w:highlight w:val="none"/>
              </w:rPr>
              <w:t>信息等支出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280"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事业单位经营收入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其他收入</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226.96</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二、上年结转结余</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232.</w:t>
            </w:r>
            <w:r>
              <w:rPr>
                <w:rFonts w:hint="eastAsia" w:eastAsia="仿宋_GB2312" w:cs="Times New Roman"/>
                <w:color w:val="auto"/>
                <w:kern w:val="0"/>
                <w:sz w:val="18"/>
                <w:szCs w:val="18"/>
                <w:highlight w:val="none"/>
                <w:lang w:val="en-US" w:eastAsia="zh-CN"/>
              </w:rPr>
              <w:t>70</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1.财政拨款结转</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192.1</w:t>
            </w:r>
            <w:r>
              <w:rPr>
                <w:rFonts w:hint="eastAsia" w:eastAsia="仿宋_GB2312" w:cs="Times New Roman"/>
                <w:color w:val="auto"/>
                <w:kern w:val="0"/>
                <w:sz w:val="18"/>
                <w:szCs w:val="18"/>
                <w:highlight w:val="none"/>
                <w:lang w:val="en-US" w:eastAsia="zh-CN"/>
              </w:rPr>
              <w:t>5</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其中：一般公共预算拨款</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192.1</w:t>
            </w:r>
            <w:r>
              <w:rPr>
                <w:rFonts w:hint="eastAsia" w:eastAsia="仿宋_GB2312" w:cs="Times New Roman"/>
                <w:color w:val="auto"/>
                <w:kern w:val="0"/>
                <w:sz w:val="18"/>
                <w:szCs w:val="18"/>
                <w:highlight w:val="none"/>
                <w:lang w:val="en-US" w:eastAsia="zh-CN"/>
              </w:rPr>
              <w:t>5</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228.1</w:t>
            </w:r>
            <w:r>
              <w:rPr>
                <w:rFonts w:hint="eastAsia" w:eastAsia="仿宋_GB2312" w:cs="Times New Roman"/>
                <w:color w:val="auto"/>
                <w:kern w:val="0"/>
                <w:sz w:val="18"/>
                <w:szCs w:val="18"/>
                <w:highlight w:val="none"/>
                <w:lang w:val="en-US" w:eastAsia="zh-CN"/>
              </w:rPr>
              <w:t>5</w:t>
            </w: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lang w:val="en-US" w:eastAsia="zh-CN"/>
              </w:rPr>
              <w:t>政府性</w:t>
            </w:r>
            <w:r>
              <w:rPr>
                <w:rFonts w:hint="default" w:ascii="Times New Roman" w:hAnsi="Times New Roman" w:eastAsia="仿宋_GB2312" w:cs="Times New Roman"/>
                <w:color w:val="auto"/>
                <w:kern w:val="0"/>
                <w:sz w:val="18"/>
                <w:szCs w:val="18"/>
                <w:highlight w:val="none"/>
                <w:shd w:val="clear" w:color="auto" w:fill="auto"/>
              </w:rPr>
              <w:t>基金预算拨款</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国有资本经营预算拨款</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2.非财政拨款结余</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40.5</w:t>
            </w:r>
            <w:r>
              <w:rPr>
                <w:rFonts w:hint="eastAsia" w:eastAsia="仿宋_GB2312" w:cs="Times New Roman"/>
                <w:color w:val="auto"/>
                <w:kern w:val="0"/>
                <w:sz w:val="18"/>
                <w:szCs w:val="18"/>
                <w:highlight w:val="none"/>
                <w:lang w:val="en-US" w:eastAsia="zh-CN"/>
              </w:rPr>
              <w:t>5</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224</w:t>
            </w:r>
            <w:r>
              <w:rPr>
                <w:rFonts w:hint="default" w:ascii="Times New Roman" w:hAnsi="Times New Roman" w:eastAsia="仿宋_GB2312" w:cs="Times New Roman"/>
                <w:color w:val="auto"/>
                <w:kern w:val="0"/>
                <w:sz w:val="18"/>
                <w:szCs w:val="18"/>
                <w:highlight w:val="none"/>
                <w:lang w:val="en-US" w:eastAsia="zh-CN"/>
              </w:rPr>
              <w:t xml:space="preserve"> </w:t>
            </w:r>
            <w:r>
              <w:rPr>
                <w:rFonts w:hint="default" w:ascii="Times New Roman" w:hAnsi="Times New Roman" w:eastAsia="仿宋_GB2312" w:cs="Times New Roman"/>
                <w:color w:val="auto"/>
                <w:kern w:val="0"/>
                <w:sz w:val="18"/>
                <w:szCs w:val="18"/>
                <w:highlight w:val="none"/>
              </w:rPr>
              <w:t>灾害防治及应急管理支出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其中：财政专户核拨</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r>
              <w:rPr>
                <w:rFonts w:hint="default" w:ascii="Times New Roman" w:hAnsi="Times New Roman" w:eastAsia="仿宋_GB2312" w:cs="Times New Roman"/>
                <w:color w:val="auto"/>
                <w:kern w:val="0"/>
                <w:sz w:val="18"/>
                <w:szCs w:val="18"/>
                <w:highlight w:val="none"/>
                <w:shd w:val="clear" w:color="auto" w:fill="auto"/>
              </w:rPr>
              <w:t>单位资金</w:t>
            </w: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rPr>
              <w:t>40.5</w:t>
            </w:r>
            <w:r>
              <w:rPr>
                <w:rFonts w:hint="eastAsia" w:eastAsia="仿宋_GB2312" w:cs="Times New Roman"/>
                <w:color w:val="auto"/>
                <w:kern w:val="0"/>
                <w:sz w:val="18"/>
                <w:szCs w:val="18"/>
                <w:highlight w:val="none"/>
                <w:lang w:val="en-US" w:eastAsia="zh-CN"/>
              </w:rPr>
              <w:t>5</w:t>
            </w: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296"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5"/>
                <w:szCs w:val="15"/>
                <w:highlight w:val="none"/>
              </w:rPr>
            </w:pPr>
            <w:r>
              <w:rPr>
                <w:rFonts w:hint="default" w:ascii="Times New Roman" w:hAnsi="Times New Roman" w:eastAsia="仿宋_GB2312" w:cs="Times New Roman"/>
                <w:color w:val="auto"/>
                <w:kern w:val="0"/>
                <w:sz w:val="18"/>
                <w:szCs w:val="18"/>
                <w:highlight w:val="none"/>
              </w:rPr>
              <w:t>230</w:t>
            </w:r>
            <w:r>
              <w:rPr>
                <w:rFonts w:hint="default" w:ascii="Times New Roman" w:hAnsi="Times New Roman" w:eastAsia="仿宋_GB2312" w:cs="Times New Roman"/>
                <w:color w:val="auto"/>
                <w:kern w:val="0"/>
                <w:sz w:val="18"/>
                <w:szCs w:val="18"/>
                <w:highlight w:val="none"/>
                <w:lang w:val="en-US" w:eastAsia="zh-CN"/>
              </w:rPr>
              <w:t xml:space="preserve"> </w:t>
            </w:r>
            <w:r>
              <w:rPr>
                <w:rFonts w:hint="default" w:ascii="Times New Roman" w:hAnsi="Times New Roman" w:eastAsia="仿宋_GB2312" w:cs="Times New Roman"/>
                <w:color w:val="auto"/>
                <w:kern w:val="0"/>
                <w:sz w:val="18"/>
                <w:szCs w:val="18"/>
                <w:highlight w:val="none"/>
              </w:rPr>
              <w:t>转移性支出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shd w:val="clear" w:color="auto" w:fill="auto"/>
              </w:rPr>
            </w:pP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1103"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3165" w:type="dxa"/>
            <w:tcBorders>
              <w:top w:val="nil"/>
              <w:left w:val="single" w:color="auto" w:sz="4" w:space="0"/>
              <w:bottom w:val="single" w:color="auto" w:sz="4" w:space="0"/>
              <w:right w:val="nil"/>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1103"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693"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color w:val="auto"/>
                <w:kern w:val="0"/>
                <w:sz w:val="18"/>
                <w:szCs w:val="18"/>
                <w:highlight w:val="none"/>
                <w:lang w:val="en-US" w:eastAsia="zh-CN"/>
              </w:rPr>
              <w:t>234 抗疫特别国债安排的支出</w:t>
            </w:r>
          </w:p>
        </w:tc>
        <w:tc>
          <w:tcPr>
            <w:tcW w:w="170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r>
      <w:tr>
        <w:tblPrEx>
          <w:tblCellMar>
            <w:top w:w="0" w:type="dxa"/>
            <w:left w:w="108" w:type="dxa"/>
            <w:bottom w:w="0" w:type="dxa"/>
            <w:right w:w="108" w:type="dxa"/>
          </w:tblCellMar>
        </w:tblPrEx>
        <w:trPr>
          <w:trHeight w:val="365" w:hRule="atLeast"/>
        </w:trPr>
        <w:tc>
          <w:tcPr>
            <w:tcW w:w="3165" w:type="dxa"/>
            <w:tcBorders>
              <w:top w:val="nil"/>
              <w:left w:val="single" w:color="auto" w:sz="4" w:space="0"/>
              <w:bottom w:val="single" w:color="auto" w:sz="4" w:space="0"/>
              <w:right w:val="nil"/>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收  入  总  计</w:t>
            </w:r>
          </w:p>
        </w:tc>
        <w:tc>
          <w:tcPr>
            <w:tcW w:w="1103"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eastAsia"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rPr>
              <w:t>4630.0</w:t>
            </w:r>
            <w:r>
              <w:rPr>
                <w:rFonts w:hint="eastAsia" w:eastAsia="仿宋_GB2312" w:cs="Times New Roman"/>
                <w:b/>
                <w:bCs/>
                <w:color w:val="auto"/>
                <w:kern w:val="0"/>
                <w:sz w:val="20"/>
                <w:szCs w:val="20"/>
                <w:highlight w:val="none"/>
                <w:lang w:val="en-US" w:eastAsia="zh-CN"/>
              </w:rPr>
              <w:t>2</w:t>
            </w:r>
          </w:p>
        </w:tc>
        <w:tc>
          <w:tcPr>
            <w:tcW w:w="2693" w:type="dxa"/>
            <w:tcBorders>
              <w:top w:val="nil"/>
              <w:left w:val="nil"/>
              <w:bottom w:val="single" w:color="auto" w:sz="4" w:space="0"/>
              <w:right w:val="nil"/>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eastAsia" w:ascii="Times New Roman" w:hAnsi="Times New Roman" w:eastAsia="仿宋_GB2312" w:cs="Times New Roman"/>
                <w:color w:val="auto"/>
                <w:kern w:val="0"/>
                <w:sz w:val="18"/>
                <w:szCs w:val="18"/>
                <w:highlight w:val="none"/>
                <w:lang w:val="en-US" w:eastAsia="zh-CN"/>
              </w:rPr>
            </w:pPr>
            <w:r>
              <w:rPr>
                <w:rFonts w:hint="default" w:ascii="Times New Roman" w:hAnsi="Times New Roman" w:eastAsia="仿宋_GB2312" w:cs="Times New Roman"/>
                <w:b/>
                <w:bCs/>
                <w:color w:val="auto"/>
                <w:kern w:val="0"/>
                <w:sz w:val="20"/>
                <w:szCs w:val="20"/>
                <w:highlight w:val="none"/>
              </w:rPr>
              <w:t>4630.0</w:t>
            </w:r>
            <w:r>
              <w:rPr>
                <w:rFonts w:hint="eastAsia" w:ascii="Times New Roman" w:hAnsi="Times New Roman" w:eastAsia="仿宋_GB2312" w:cs="Times New Roman"/>
                <w:b/>
                <w:bCs/>
                <w:color w:val="auto"/>
                <w:kern w:val="0"/>
                <w:sz w:val="20"/>
                <w:szCs w:val="20"/>
                <w:highlight w:val="none"/>
                <w:lang w:val="en-US" w:eastAsia="zh-CN"/>
              </w:rPr>
              <w:t>2</w:t>
            </w:r>
          </w:p>
        </w:tc>
      </w:tr>
    </w:tbl>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color w:val="auto"/>
          <w:highlight w:val="none"/>
          <w:lang w:val="en-US" w:eastAsia="zh-CN"/>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表2</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1"/>
        <w:rPr>
          <w:rFonts w:hint="default" w:ascii="Times New Roman" w:hAnsi="Times New Roman" w:eastAsia="仿宋_GB2312" w:cs="Times New Roman"/>
          <w:b/>
          <w:color w:val="auto"/>
          <w:kern w:val="0"/>
          <w:sz w:val="32"/>
          <w:szCs w:val="32"/>
          <w:highlight w:val="none"/>
          <w:lang w:eastAsia="zh-CN"/>
        </w:rPr>
      </w:pPr>
      <w:r>
        <w:rPr>
          <w:rFonts w:hint="default" w:ascii="Times New Roman" w:hAnsi="Times New Roman" w:eastAsia="仿宋_GB2312" w:cs="Times New Roman"/>
          <w:b/>
          <w:bCs w:val="0"/>
          <w:color w:val="auto"/>
          <w:kern w:val="0"/>
          <w:sz w:val="32"/>
          <w:szCs w:val="32"/>
          <w:highlight w:val="none"/>
        </w:rPr>
        <w:t>单位收入总体情况表</w:t>
      </w:r>
    </w:p>
    <w:p>
      <w:pPr>
        <w:widowControl/>
        <w:jc w:val="left"/>
        <w:outlineLvl w:val="1"/>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w:t>
      </w:r>
      <w:r>
        <w:rPr>
          <w:rFonts w:hint="default" w:ascii="Times New Roman" w:hAnsi="Times New Roman" w:eastAsia="仿宋_GB2312" w:cs="Times New Roman"/>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单位：万元                                             </w:t>
      </w:r>
    </w:p>
    <w:tbl>
      <w:tblPr>
        <w:tblStyle w:val="6"/>
        <w:tblW w:w="10015" w:type="dxa"/>
        <w:tblInd w:w="-622" w:type="dxa"/>
        <w:tblLayout w:type="fixed"/>
        <w:tblCellMar>
          <w:top w:w="0" w:type="dxa"/>
          <w:left w:w="108" w:type="dxa"/>
          <w:bottom w:w="0" w:type="dxa"/>
          <w:right w:w="108" w:type="dxa"/>
        </w:tblCellMar>
      </w:tblPr>
      <w:tblGrid>
        <w:gridCol w:w="506"/>
        <w:gridCol w:w="431"/>
        <w:gridCol w:w="415"/>
        <w:gridCol w:w="1016"/>
        <w:gridCol w:w="784"/>
        <w:gridCol w:w="894"/>
        <w:gridCol w:w="784"/>
        <w:gridCol w:w="645"/>
        <w:gridCol w:w="401"/>
        <w:gridCol w:w="493"/>
        <w:gridCol w:w="465"/>
        <w:gridCol w:w="779"/>
        <w:gridCol w:w="448"/>
        <w:gridCol w:w="671"/>
        <w:gridCol w:w="683"/>
        <w:gridCol w:w="600"/>
      </w:tblGrid>
      <w:tr>
        <w:tblPrEx>
          <w:tblCellMar>
            <w:top w:w="0" w:type="dxa"/>
            <w:left w:w="108" w:type="dxa"/>
            <w:bottom w:w="0" w:type="dxa"/>
            <w:right w:w="108" w:type="dxa"/>
          </w:tblCellMar>
        </w:tblPrEx>
        <w:trPr>
          <w:trHeight w:val="697"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b/>
                <w:color w:val="auto"/>
                <w:sz w:val="20"/>
                <w:szCs w:val="20"/>
                <w:highlight w:val="none"/>
              </w:rPr>
            </w:pPr>
            <w:r>
              <w:rPr>
                <w:rFonts w:hint="default" w:ascii="Times New Roman" w:hAnsi="Times New Roman" w:eastAsia="仿宋_GB2312" w:cs="Times New Roman"/>
                <w:b/>
                <w:color w:val="auto"/>
                <w:sz w:val="24"/>
                <w:szCs w:val="24"/>
                <w:highlight w:val="none"/>
              </w:rPr>
              <w:t>科目</w:t>
            </w:r>
            <w:r>
              <w:rPr>
                <w:rFonts w:hint="default" w:ascii="Times New Roman" w:hAnsi="Times New Roman" w:eastAsia="仿宋_GB2312" w:cs="Times New Roman"/>
                <w:b/>
                <w:color w:val="auto"/>
                <w:sz w:val="24"/>
                <w:szCs w:val="24"/>
                <w:highlight w:val="none"/>
                <w:lang w:val="en-US" w:eastAsia="zh-CN"/>
              </w:rPr>
              <w:t>代</w:t>
            </w:r>
            <w:r>
              <w:rPr>
                <w:rFonts w:hint="default" w:ascii="Times New Roman" w:hAnsi="Times New Roman" w:eastAsia="仿宋_GB2312" w:cs="Times New Roman"/>
                <w:b/>
                <w:color w:val="auto"/>
                <w:sz w:val="24"/>
                <w:szCs w:val="24"/>
                <w:highlight w:val="none"/>
              </w:rPr>
              <w:t>码</w:t>
            </w:r>
          </w:p>
        </w:tc>
        <w:tc>
          <w:tcPr>
            <w:tcW w:w="1016"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color w:val="auto"/>
                <w:sz w:val="20"/>
                <w:szCs w:val="20"/>
                <w:highlight w:val="none"/>
              </w:rPr>
            </w:pPr>
            <w:r>
              <w:rPr>
                <w:rFonts w:hint="default" w:ascii="Times New Roman" w:hAnsi="Times New Roman" w:eastAsia="仿宋_GB2312" w:cs="Times New Roman"/>
                <w:b/>
                <w:color w:val="auto"/>
                <w:sz w:val="20"/>
                <w:szCs w:val="20"/>
                <w:highlight w:val="none"/>
              </w:rPr>
              <w:t>科目名称</w:t>
            </w:r>
          </w:p>
        </w:tc>
        <w:tc>
          <w:tcPr>
            <w:tcW w:w="784"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val="0"/>
                <w:color w:val="auto"/>
                <w:sz w:val="20"/>
                <w:szCs w:val="20"/>
                <w:highlight w:val="none"/>
              </w:rPr>
            </w:pPr>
            <w:r>
              <w:rPr>
                <w:rFonts w:hint="default" w:ascii="Times New Roman" w:hAnsi="Times New Roman" w:eastAsia="仿宋_GB2312" w:cs="Times New Roman"/>
                <w:b/>
                <w:bCs w:val="0"/>
                <w:color w:val="auto"/>
                <w:sz w:val="20"/>
                <w:szCs w:val="20"/>
                <w:highlight w:val="none"/>
              </w:rPr>
              <w:t>总</w:t>
            </w:r>
          </w:p>
          <w:p>
            <w:pPr>
              <w:jc w:val="center"/>
              <w:rPr>
                <w:rFonts w:hint="default" w:ascii="Times New Roman" w:hAnsi="Times New Roman" w:eastAsia="仿宋_GB2312" w:cs="Times New Roman"/>
                <w:b/>
                <w:bCs w:val="0"/>
                <w:color w:val="auto"/>
                <w:sz w:val="20"/>
                <w:szCs w:val="20"/>
                <w:highlight w:val="none"/>
              </w:rPr>
            </w:pPr>
            <w:r>
              <w:rPr>
                <w:rFonts w:hint="default" w:ascii="Times New Roman" w:hAnsi="Times New Roman" w:eastAsia="仿宋_GB2312" w:cs="Times New Roman"/>
                <w:b/>
                <w:bCs w:val="0"/>
                <w:color w:val="auto"/>
                <w:sz w:val="20"/>
                <w:szCs w:val="20"/>
                <w:highlight w:val="none"/>
              </w:rPr>
              <w:t>计</w:t>
            </w:r>
          </w:p>
        </w:tc>
        <w:tc>
          <w:tcPr>
            <w:tcW w:w="4461"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b/>
                <w:bCs w:val="0"/>
                <w:color w:val="auto"/>
                <w:sz w:val="20"/>
                <w:szCs w:val="20"/>
                <w:highlight w:val="none"/>
              </w:rPr>
            </w:pPr>
            <w:r>
              <w:rPr>
                <w:rFonts w:hint="default" w:ascii="Times New Roman" w:hAnsi="Times New Roman" w:eastAsia="仿宋_GB2312" w:cs="Times New Roman"/>
                <w:b/>
                <w:bCs w:val="0"/>
                <w:color w:val="auto"/>
                <w:sz w:val="24"/>
                <w:szCs w:val="24"/>
                <w:highlight w:val="none"/>
              </w:rPr>
              <w:t>财  政  拨  款  (  补  助  )</w:t>
            </w:r>
          </w:p>
        </w:tc>
        <w:tc>
          <w:tcPr>
            <w:tcW w:w="448"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val="0"/>
                <w:color w:val="auto"/>
                <w:sz w:val="20"/>
                <w:szCs w:val="20"/>
                <w:highlight w:val="none"/>
              </w:rPr>
            </w:pPr>
            <w:r>
              <w:rPr>
                <w:rFonts w:hint="default" w:ascii="Times New Roman" w:hAnsi="Times New Roman" w:eastAsia="仿宋_GB2312" w:cs="Times New Roman"/>
                <w:b/>
                <w:bCs w:val="0"/>
                <w:color w:val="auto"/>
                <w:sz w:val="20"/>
                <w:szCs w:val="20"/>
                <w:highlight w:val="none"/>
              </w:rPr>
              <w:t>财政专户（教育收费）</w:t>
            </w:r>
          </w:p>
        </w:tc>
        <w:tc>
          <w:tcPr>
            <w:tcW w:w="671"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color w:val="auto"/>
                <w:sz w:val="20"/>
                <w:szCs w:val="20"/>
                <w:highlight w:val="none"/>
              </w:rPr>
            </w:pPr>
            <w:r>
              <w:rPr>
                <w:rFonts w:hint="default" w:ascii="Times New Roman" w:hAnsi="Times New Roman" w:eastAsia="仿宋_GB2312" w:cs="Times New Roman"/>
                <w:b/>
                <w:color w:val="auto"/>
                <w:sz w:val="20"/>
                <w:szCs w:val="20"/>
                <w:highlight w:val="none"/>
              </w:rPr>
              <w:t>单位资金</w:t>
            </w:r>
          </w:p>
        </w:tc>
        <w:tc>
          <w:tcPr>
            <w:tcW w:w="683"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color w:val="auto"/>
                <w:sz w:val="20"/>
                <w:szCs w:val="20"/>
                <w:highlight w:val="none"/>
              </w:rPr>
            </w:pPr>
            <w:r>
              <w:rPr>
                <w:rFonts w:hint="default" w:ascii="Times New Roman" w:hAnsi="Times New Roman" w:eastAsia="仿宋_GB2312" w:cs="Times New Roman"/>
                <w:b/>
                <w:color w:val="auto"/>
                <w:sz w:val="20"/>
                <w:szCs w:val="20"/>
                <w:highlight w:val="none"/>
              </w:rPr>
              <w:t>财政拨款结转</w:t>
            </w:r>
          </w:p>
        </w:tc>
        <w:tc>
          <w:tcPr>
            <w:tcW w:w="600" w:type="dxa"/>
            <w:vMerge w:val="restart"/>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color w:val="auto"/>
                <w:sz w:val="20"/>
                <w:szCs w:val="20"/>
                <w:highlight w:val="none"/>
              </w:rPr>
            </w:pPr>
            <w:r>
              <w:rPr>
                <w:rFonts w:hint="default" w:ascii="Times New Roman" w:hAnsi="Times New Roman" w:eastAsia="仿宋_GB2312" w:cs="Times New Roman"/>
                <w:b/>
                <w:color w:val="auto"/>
                <w:sz w:val="20"/>
                <w:szCs w:val="20"/>
                <w:highlight w:val="none"/>
              </w:rPr>
              <w:t>非财政拨款结转结余</w:t>
            </w:r>
          </w:p>
        </w:tc>
      </w:tr>
      <w:tr>
        <w:tblPrEx>
          <w:tblCellMar>
            <w:top w:w="0" w:type="dxa"/>
            <w:left w:w="108" w:type="dxa"/>
            <w:bottom w:w="0" w:type="dxa"/>
            <w:right w:w="108" w:type="dxa"/>
          </w:tblCellMar>
        </w:tblPrEx>
        <w:trPr>
          <w:trHeight w:val="2394" w:hRule="atLeast"/>
        </w:trPr>
        <w:tc>
          <w:tcPr>
            <w:tcW w:w="506" w:type="dxa"/>
            <w:tcBorders>
              <w:left w:val="single" w:color="auto" w:sz="4" w:space="0"/>
              <w:bottom w:val="single" w:color="auto" w:sz="4" w:space="0"/>
              <w:right w:val="single" w:color="auto" w:sz="4" w:space="0"/>
            </w:tcBorders>
            <w:noWrap w:val="0"/>
            <w:vAlign w:val="center"/>
          </w:tcPr>
          <w:p>
            <w:pPr>
              <w:jc w:val="right"/>
              <w:rPr>
                <w:rFonts w:hint="default" w:ascii="Times New Roman" w:hAnsi="Times New Roman" w:eastAsia="仿宋_GB2312" w:cs="Times New Roman"/>
                <w:b/>
                <w:color w:val="auto"/>
                <w:sz w:val="20"/>
                <w:szCs w:val="20"/>
                <w:highlight w:val="none"/>
                <w:lang w:val="en-US" w:eastAsia="zh-Hans"/>
              </w:rPr>
            </w:pPr>
            <w:r>
              <w:rPr>
                <w:rFonts w:hint="default" w:ascii="Times New Roman" w:hAnsi="Times New Roman" w:eastAsia="仿宋_GB2312" w:cs="Times New Roman"/>
                <w:b/>
                <w:color w:val="auto"/>
                <w:sz w:val="20"/>
                <w:szCs w:val="20"/>
                <w:highlight w:val="none"/>
                <w:lang w:val="en-US" w:eastAsia="zh-Hans"/>
              </w:rPr>
              <w:t>类</w:t>
            </w:r>
          </w:p>
        </w:tc>
        <w:tc>
          <w:tcPr>
            <w:tcW w:w="431" w:type="dxa"/>
            <w:tcBorders>
              <w:left w:val="nil"/>
              <w:bottom w:val="single" w:color="auto" w:sz="4" w:space="0"/>
              <w:right w:val="single" w:color="auto" w:sz="4" w:space="0"/>
            </w:tcBorders>
            <w:noWrap w:val="0"/>
            <w:vAlign w:val="center"/>
          </w:tcPr>
          <w:p>
            <w:pPr>
              <w:jc w:val="right"/>
              <w:rPr>
                <w:rFonts w:hint="default" w:ascii="Times New Roman" w:hAnsi="Times New Roman" w:eastAsia="仿宋_GB2312" w:cs="Times New Roman"/>
                <w:b/>
                <w:color w:val="auto"/>
                <w:sz w:val="20"/>
                <w:szCs w:val="20"/>
                <w:highlight w:val="none"/>
                <w:lang w:val="en-US" w:eastAsia="zh-Hans"/>
              </w:rPr>
            </w:pPr>
            <w:r>
              <w:rPr>
                <w:rFonts w:hint="default" w:ascii="Times New Roman" w:hAnsi="Times New Roman" w:eastAsia="仿宋_GB2312" w:cs="Times New Roman"/>
                <w:b/>
                <w:color w:val="auto"/>
                <w:sz w:val="20"/>
                <w:szCs w:val="20"/>
                <w:highlight w:val="none"/>
                <w:lang w:val="en-US" w:eastAsia="zh-Hans"/>
              </w:rPr>
              <w:t>款</w:t>
            </w:r>
          </w:p>
        </w:tc>
        <w:tc>
          <w:tcPr>
            <w:tcW w:w="415" w:type="dxa"/>
            <w:tcBorders>
              <w:left w:val="nil"/>
              <w:bottom w:val="single" w:color="auto" w:sz="4" w:space="0"/>
              <w:right w:val="single" w:color="auto" w:sz="4" w:space="0"/>
            </w:tcBorders>
            <w:noWrap w:val="0"/>
            <w:vAlign w:val="center"/>
          </w:tcPr>
          <w:p>
            <w:pPr>
              <w:jc w:val="right"/>
              <w:rPr>
                <w:rFonts w:hint="default" w:ascii="Times New Roman" w:hAnsi="Times New Roman" w:eastAsia="仿宋_GB2312" w:cs="Times New Roman"/>
                <w:b/>
                <w:color w:val="auto"/>
                <w:sz w:val="20"/>
                <w:szCs w:val="20"/>
                <w:highlight w:val="none"/>
                <w:lang w:val="en-US" w:eastAsia="zh-Hans"/>
              </w:rPr>
            </w:pPr>
            <w:r>
              <w:rPr>
                <w:rFonts w:hint="default" w:ascii="Times New Roman" w:hAnsi="Times New Roman" w:eastAsia="仿宋_GB2312" w:cs="Times New Roman"/>
                <w:b/>
                <w:color w:val="auto"/>
                <w:sz w:val="20"/>
                <w:szCs w:val="20"/>
                <w:highlight w:val="none"/>
                <w:lang w:val="en-US" w:eastAsia="zh-Hans"/>
              </w:rPr>
              <w:t>项</w:t>
            </w:r>
          </w:p>
        </w:tc>
        <w:tc>
          <w:tcPr>
            <w:tcW w:w="1016" w:type="dxa"/>
            <w:vMerge w:val="continue"/>
            <w:tcBorders>
              <w:left w:val="single" w:color="auto" w:sz="4" w:space="0"/>
              <w:bottom w:val="single" w:color="000000" w:sz="4" w:space="0"/>
              <w:right w:val="single" w:color="auto" w:sz="4" w:space="0"/>
            </w:tcBorders>
            <w:noWrap w:val="0"/>
            <w:vAlign w:val="center"/>
          </w:tcPr>
          <w:p>
            <w:pPr>
              <w:rPr>
                <w:rFonts w:hint="default" w:ascii="Times New Roman" w:hAnsi="Times New Roman" w:eastAsia="仿宋_GB2312" w:cs="Times New Roman"/>
                <w:color w:val="auto"/>
                <w:sz w:val="20"/>
                <w:szCs w:val="20"/>
                <w:highlight w:val="none"/>
              </w:rPr>
            </w:pPr>
          </w:p>
        </w:tc>
        <w:tc>
          <w:tcPr>
            <w:tcW w:w="784" w:type="dxa"/>
            <w:vMerge w:val="continue"/>
            <w:tcBorders>
              <w:left w:val="single" w:color="auto" w:sz="4" w:space="0"/>
              <w:bottom w:val="single" w:color="000000" w:sz="4" w:space="0"/>
              <w:right w:val="single" w:color="auto" w:sz="4" w:space="0"/>
            </w:tcBorders>
            <w:noWrap w:val="0"/>
            <w:vAlign w:val="center"/>
          </w:tcPr>
          <w:p>
            <w:pPr>
              <w:rPr>
                <w:rFonts w:hint="default" w:ascii="Times New Roman" w:hAnsi="Times New Roman" w:eastAsia="仿宋_GB2312" w:cs="Times New Roman"/>
                <w:color w:val="auto"/>
                <w:sz w:val="20"/>
                <w:szCs w:val="20"/>
                <w:highlight w:val="none"/>
              </w:rPr>
            </w:pPr>
          </w:p>
        </w:tc>
        <w:tc>
          <w:tcPr>
            <w:tcW w:w="894"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color w:val="auto"/>
                <w:sz w:val="20"/>
                <w:szCs w:val="20"/>
                <w:highlight w:val="none"/>
              </w:rPr>
            </w:pPr>
            <w:r>
              <w:rPr>
                <w:rFonts w:hint="default" w:ascii="Times New Roman" w:hAnsi="Times New Roman" w:eastAsia="仿宋_GB2312" w:cs="Times New Roman"/>
                <w:b/>
                <w:bCs/>
                <w:color w:val="auto"/>
                <w:sz w:val="20"/>
                <w:szCs w:val="20"/>
                <w:highlight w:val="none"/>
              </w:rPr>
              <w:t>财政拨款(补助)小计</w:t>
            </w:r>
          </w:p>
        </w:tc>
        <w:tc>
          <w:tcPr>
            <w:tcW w:w="784"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color w:val="auto"/>
                <w:sz w:val="20"/>
                <w:szCs w:val="20"/>
                <w:highlight w:val="none"/>
              </w:rPr>
            </w:pPr>
            <w:r>
              <w:rPr>
                <w:rFonts w:hint="default" w:ascii="Times New Roman" w:hAnsi="Times New Roman" w:eastAsia="仿宋_GB2312" w:cs="Times New Roman"/>
                <w:b/>
                <w:bCs/>
                <w:color w:val="auto"/>
                <w:sz w:val="20"/>
                <w:szCs w:val="20"/>
                <w:highlight w:val="none"/>
              </w:rPr>
              <w:t>一般公共预算</w:t>
            </w:r>
          </w:p>
        </w:tc>
        <w:tc>
          <w:tcPr>
            <w:tcW w:w="645"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color w:val="auto"/>
                <w:sz w:val="20"/>
                <w:szCs w:val="20"/>
                <w:highlight w:val="none"/>
              </w:rPr>
            </w:pPr>
            <w:r>
              <w:rPr>
                <w:rFonts w:hint="default" w:ascii="Times New Roman" w:hAnsi="Times New Roman" w:eastAsia="仿宋_GB2312" w:cs="Times New Roman"/>
                <w:b/>
                <w:bCs/>
                <w:color w:val="auto"/>
                <w:sz w:val="20"/>
                <w:szCs w:val="20"/>
                <w:highlight w:val="none"/>
              </w:rPr>
              <w:t>上级一般公共预算安排的转移支付</w:t>
            </w:r>
          </w:p>
        </w:tc>
        <w:tc>
          <w:tcPr>
            <w:tcW w:w="401"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color w:val="auto"/>
                <w:sz w:val="20"/>
                <w:szCs w:val="20"/>
                <w:highlight w:val="none"/>
              </w:rPr>
            </w:pPr>
            <w:r>
              <w:rPr>
                <w:rFonts w:hint="default" w:ascii="Times New Roman" w:hAnsi="Times New Roman" w:eastAsia="仿宋_GB2312" w:cs="Times New Roman"/>
                <w:b/>
                <w:bCs/>
                <w:color w:val="auto"/>
                <w:sz w:val="20"/>
                <w:szCs w:val="20"/>
                <w:highlight w:val="none"/>
              </w:rPr>
              <w:t>政府性基金预算</w:t>
            </w:r>
          </w:p>
        </w:tc>
        <w:tc>
          <w:tcPr>
            <w:tcW w:w="493"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color w:val="auto"/>
                <w:sz w:val="20"/>
                <w:szCs w:val="20"/>
                <w:highlight w:val="none"/>
              </w:rPr>
            </w:pPr>
            <w:r>
              <w:rPr>
                <w:rFonts w:hint="default" w:ascii="Times New Roman" w:hAnsi="Times New Roman" w:eastAsia="仿宋_GB2312" w:cs="Times New Roman"/>
                <w:b/>
                <w:bCs/>
                <w:color w:val="auto"/>
                <w:sz w:val="20"/>
                <w:szCs w:val="20"/>
                <w:highlight w:val="none"/>
              </w:rPr>
              <w:t>上级政府性基金安排的转移支付</w:t>
            </w:r>
          </w:p>
        </w:tc>
        <w:tc>
          <w:tcPr>
            <w:tcW w:w="465"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color w:val="auto"/>
                <w:sz w:val="20"/>
                <w:szCs w:val="20"/>
                <w:highlight w:val="none"/>
              </w:rPr>
            </w:pPr>
            <w:r>
              <w:rPr>
                <w:rFonts w:hint="default" w:ascii="Times New Roman" w:hAnsi="Times New Roman" w:eastAsia="仿宋_GB2312" w:cs="Times New Roman"/>
                <w:b/>
                <w:bCs/>
                <w:color w:val="auto"/>
                <w:sz w:val="20"/>
                <w:szCs w:val="20"/>
                <w:highlight w:val="none"/>
              </w:rPr>
              <w:t>国有资本经营预算</w:t>
            </w:r>
          </w:p>
        </w:tc>
        <w:tc>
          <w:tcPr>
            <w:tcW w:w="779"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default" w:ascii="Times New Roman" w:hAnsi="Times New Roman" w:eastAsia="仿宋_GB2312" w:cs="Times New Roman"/>
                <w:b/>
                <w:bCs/>
                <w:color w:val="auto"/>
                <w:sz w:val="20"/>
                <w:szCs w:val="20"/>
                <w:highlight w:val="none"/>
              </w:rPr>
            </w:pPr>
            <w:r>
              <w:rPr>
                <w:rFonts w:hint="default" w:ascii="Times New Roman" w:hAnsi="Times New Roman" w:eastAsia="仿宋_GB2312" w:cs="Times New Roman"/>
                <w:b/>
                <w:bCs/>
                <w:color w:val="auto"/>
                <w:sz w:val="20"/>
                <w:szCs w:val="20"/>
                <w:highlight w:val="none"/>
              </w:rPr>
              <w:t>上级国有资本经营预算安排的转移支付</w:t>
            </w:r>
          </w:p>
        </w:tc>
        <w:tc>
          <w:tcPr>
            <w:tcW w:w="448" w:type="dxa"/>
            <w:vMerge w:val="continue"/>
            <w:tcBorders>
              <w:left w:val="single" w:color="auto" w:sz="4" w:space="0"/>
              <w:bottom w:val="single" w:color="000000" w:sz="4" w:space="0"/>
              <w:right w:val="single" w:color="auto" w:sz="4" w:space="0"/>
            </w:tcBorders>
            <w:noWrap w:val="0"/>
            <w:vAlign w:val="center"/>
          </w:tcPr>
          <w:p>
            <w:pPr>
              <w:rPr>
                <w:rFonts w:hint="default" w:ascii="Times New Roman" w:hAnsi="Times New Roman" w:eastAsia="仿宋_GB2312" w:cs="Times New Roman"/>
                <w:color w:val="auto"/>
                <w:sz w:val="20"/>
                <w:szCs w:val="20"/>
                <w:highlight w:val="none"/>
              </w:rPr>
            </w:pPr>
          </w:p>
        </w:tc>
        <w:tc>
          <w:tcPr>
            <w:tcW w:w="671" w:type="dxa"/>
            <w:vMerge w:val="continue"/>
            <w:tcBorders>
              <w:left w:val="single" w:color="auto" w:sz="4" w:space="0"/>
              <w:bottom w:val="single" w:color="000000" w:sz="4" w:space="0"/>
              <w:right w:val="single" w:color="auto" w:sz="4" w:space="0"/>
            </w:tcBorders>
            <w:noWrap w:val="0"/>
            <w:vAlign w:val="center"/>
          </w:tcPr>
          <w:p>
            <w:pPr>
              <w:rPr>
                <w:rFonts w:hint="default" w:ascii="Times New Roman" w:hAnsi="Times New Roman" w:eastAsia="仿宋_GB2312" w:cs="Times New Roman"/>
                <w:color w:val="auto"/>
                <w:sz w:val="20"/>
                <w:szCs w:val="20"/>
                <w:highlight w:val="none"/>
              </w:rPr>
            </w:pPr>
          </w:p>
        </w:tc>
        <w:tc>
          <w:tcPr>
            <w:tcW w:w="683" w:type="dxa"/>
            <w:vMerge w:val="continue"/>
            <w:tcBorders>
              <w:left w:val="single" w:color="auto" w:sz="4" w:space="0"/>
              <w:bottom w:val="single" w:color="000000" w:sz="4" w:space="0"/>
              <w:right w:val="single" w:color="auto" w:sz="4" w:space="0"/>
            </w:tcBorders>
            <w:noWrap w:val="0"/>
            <w:vAlign w:val="center"/>
          </w:tcPr>
          <w:p>
            <w:pPr>
              <w:rPr>
                <w:rFonts w:hint="default" w:ascii="Times New Roman" w:hAnsi="Times New Roman" w:eastAsia="仿宋_GB2312" w:cs="Times New Roman"/>
                <w:color w:val="auto"/>
                <w:sz w:val="20"/>
                <w:szCs w:val="20"/>
                <w:highlight w:val="none"/>
              </w:rPr>
            </w:pPr>
          </w:p>
        </w:tc>
        <w:tc>
          <w:tcPr>
            <w:tcW w:w="600" w:type="dxa"/>
            <w:vMerge w:val="continue"/>
            <w:tcBorders>
              <w:left w:val="single" w:color="auto" w:sz="4" w:space="0"/>
              <w:bottom w:val="single" w:color="000000" w:sz="4" w:space="0"/>
              <w:right w:val="single" w:color="auto" w:sz="4" w:space="0"/>
            </w:tcBorders>
            <w:noWrap w:val="0"/>
            <w:vAlign w:val="center"/>
          </w:tcPr>
          <w:p>
            <w:pPr>
              <w:rPr>
                <w:rFonts w:hint="default" w:ascii="Times New Roman" w:hAnsi="Times New Roman" w:eastAsia="仿宋_GB2312" w:cs="Times New Roman"/>
                <w:color w:val="auto"/>
                <w:sz w:val="20"/>
                <w:szCs w:val="20"/>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shd w:val="clear" w:color="auto" w:fill="auto"/>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shd w:val="clear" w:color="auto" w:fill="auto"/>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415" w:type="dxa"/>
            <w:tcBorders>
              <w:top w:val="nil"/>
              <w:left w:val="nil"/>
              <w:bottom w:val="single" w:color="auto" w:sz="4" w:space="0"/>
              <w:right w:val="single" w:color="auto" w:sz="4" w:space="0"/>
            </w:tcBorders>
            <w:shd w:val="clear" w:color="auto" w:fill="auto"/>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1016" w:type="dxa"/>
            <w:tcBorders>
              <w:top w:val="nil"/>
              <w:left w:val="nil"/>
              <w:bottom w:val="single" w:color="auto" w:sz="4" w:space="0"/>
              <w:right w:val="single" w:color="auto" w:sz="4" w:space="0"/>
            </w:tcBorders>
            <w:shd w:val="clear" w:color="auto" w:fill="auto"/>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教育支出</w:t>
            </w:r>
          </w:p>
        </w:tc>
        <w:tc>
          <w:tcPr>
            <w:tcW w:w="784" w:type="dxa"/>
            <w:tcBorders>
              <w:top w:val="nil"/>
              <w:left w:val="nil"/>
              <w:bottom w:val="single" w:color="auto" w:sz="4" w:space="0"/>
              <w:right w:val="single" w:color="auto" w:sz="4" w:space="0"/>
            </w:tcBorders>
            <w:shd w:val="clear" w:color="000000" w:fill="auto"/>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3626.49 </w:t>
            </w:r>
          </w:p>
        </w:tc>
        <w:tc>
          <w:tcPr>
            <w:tcW w:w="894" w:type="dxa"/>
            <w:tcBorders>
              <w:top w:val="nil"/>
              <w:left w:val="nil"/>
              <w:bottom w:val="single" w:color="auto" w:sz="4" w:space="0"/>
              <w:right w:val="single" w:color="auto" w:sz="4" w:space="0"/>
            </w:tcBorders>
            <w:shd w:val="clear" w:color="000000" w:fill="auto"/>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3181.99 </w:t>
            </w:r>
          </w:p>
        </w:tc>
        <w:tc>
          <w:tcPr>
            <w:tcW w:w="784" w:type="dxa"/>
            <w:tcBorders>
              <w:top w:val="nil"/>
              <w:left w:val="nil"/>
              <w:bottom w:val="single" w:color="auto" w:sz="4" w:space="0"/>
              <w:right w:val="single" w:color="auto" w:sz="4" w:space="0"/>
            </w:tcBorders>
            <w:shd w:val="clear" w:color="000000" w:fill="auto"/>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2950.04 </w:t>
            </w:r>
          </w:p>
        </w:tc>
        <w:tc>
          <w:tcPr>
            <w:tcW w:w="645" w:type="dxa"/>
            <w:tcBorders>
              <w:top w:val="nil"/>
              <w:left w:val="nil"/>
              <w:bottom w:val="single" w:color="auto" w:sz="4" w:space="0"/>
              <w:right w:val="single" w:color="auto" w:sz="4" w:space="0"/>
            </w:tcBorders>
            <w:shd w:val="clear" w:color="000000" w:fill="auto"/>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231.95 </w:t>
            </w:r>
          </w:p>
        </w:tc>
        <w:tc>
          <w:tcPr>
            <w:tcW w:w="401" w:type="dxa"/>
            <w:tcBorders>
              <w:top w:val="nil"/>
              <w:left w:val="nil"/>
              <w:bottom w:val="single" w:color="auto" w:sz="4" w:space="0"/>
              <w:right w:val="single" w:color="auto" w:sz="4" w:space="0"/>
            </w:tcBorders>
            <w:shd w:val="clear" w:color="000000" w:fill="auto"/>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shd w:val="clear" w:color="000000" w:fill="auto"/>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shd w:val="clear" w:color="000000" w:fill="auto"/>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shd w:val="clear" w:color="000000" w:fill="auto"/>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shd w:val="clear" w:color="000000" w:fill="auto"/>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shd w:val="clear" w:color="000000" w:fill="auto"/>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226.96</w:t>
            </w:r>
          </w:p>
        </w:tc>
        <w:tc>
          <w:tcPr>
            <w:tcW w:w="683" w:type="dxa"/>
            <w:tcBorders>
              <w:top w:val="nil"/>
              <w:left w:val="single" w:color="auto" w:sz="4" w:space="0"/>
              <w:bottom w:val="single" w:color="auto" w:sz="4" w:space="0"/>
              <w:right w:val="single" w:color="auto" w:sz="4" w:space="0"/>
            </w:tcBorders>
            <w:shd w:val="clear" w:color="000000" w:fill="auto"/>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lang w:val="en-US"/>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176.9</w:t>
            </w:r>
            <w:r>
              <w:rPr>
                <w:rFonts w:hint="eastAsia" w:ascii="Times New Roman Regular" w:hAnsi="Times New Roman Regular" w:cs="Times New Roman Regular"/>
                <w:i w:val="0"/>
                <w:iCs w:val="0"/>
                <w:color w:val="auto"/>
                <w:kern w:val="0"/>
                <w:sz w:val="15"/>
                <w:szCs w:val="15"/>
                <w:highlight w:val="none"/>
                <w:u w:val="none"/>
                <w:lang w:val="en-US" w:eastAsia="zh-CN" w:bidi="ar"/>
              </w:rPr>
              <w:t>9</w:t>
            </w:r>
          </w:p>
        </w:tc>
        <w:tc>
          <w:tcPr>
            <w:tcW w:w="600" w:type="dxa"/>
            <w:tcBorders>
              <w:top w:val="nil"/>
              <w:left w:val="single" w:color="auto" w:sz="4" w:space="0"/>
              <w:bottom w:val="single" w:color="auto" w:sz="4" w:space="0"/>
              <w:right w:val="single" w:color="auto" w:sz="4" w:space="0"/>
            </w:tcBorders>
            <w:shd w:val="clear" w:color="000000" w:fill="auto"/>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lang w:val="en-US"/>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40.5</w:t>
            </w:r>
            <w:r>
              <w:rPr>
                <w:rFonts w:hint="eastAsia" w:ascii="Times New Roman Regular" w:hAnsi="Times New Roman Regular" w:cs="Times New Roman Regular"/>
                <w:i w:val="0"/>
                <w:iCs w:val="0"/>
                <w:color w:val="auto"/>
                <w:kern w:val="0"/>
                <w:sz w:val="15"/>
                <w:szCs w:val="15"/>
                <w:highlight w:val="none"/>
                <w:u w:val="none"/>
                <w:lang w:val="en-US" w:eastAsia="zh-CN" w:bidi="ar"/>
              </w:rPr>
              <w:t>5</w:t>
            </w: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415"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普通教育</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3606.87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3175.37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2950.04 </w:t>
            </w:r>
          </w:p>
        </w:tc>
        <w:tc>
          <w:tcPr>
            <w:tcW w:w="64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225.33 </w:t>
            </w: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226.96</w:t>
            </w: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163.9</w:t>
            </w:r>
            <w:r>
              <w:rPr>
                <w:rFonts w:hint="eastAsia" w:ascii="Times New Roman Regular" w:hAnsi="Times New Roman Regular" w:cs="Times New Roman Regular"/>
                <w:i w:val="0"/>
                <w:iCs w:val="0"/>
                <w:color w:val="auto"/>
                <w:kern w:val="0"/>
                <w:sz w:val="15"/>
                <w:szCs w:val="15"/>
                <w:highlight w:val="none"/>
                <w:u w:val="none"/>
                <w:lang w:val="en-US" w:eastAsia="zh-CN" w:bidi="ar"/>
              </w:rPr>
              <w:t>9</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lang w:val="en-US"/>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40.5</w:t>
            </w:r>
            <w:r>
              <w:rPr>
                <w:rFonts w:hint="eastAsia" w:ascii="Times New Roman Regular" w:hAnsi="Times New Roman Regular" w:cs="Times New Roman Regular"/>
                <w:i w:val="0"/>
                <w:iCs w:val="0"/>
                <w:color w:val="auto"/>
                <w:kern w:val="0"/>
                <w:sz w:val="15"/>
                <w:szCs w:val="15"/>
                <w:highlight w:val="none"/>
                <w:u w:val="none"/>
                <w:lang w:val="en-US" w:eastAsia="zh-CN" w:bidi="ar"/>
              </w:rPr>
              <w:t>5</w:t>
            </w: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小学教育</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1734.45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1339.28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1203.98 </w:t>
            </w:r>
          </w:p>
        </w:tc>
        <w:tc>
          <w:tcPr>
            <w:tcW w:w="64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135.30 </w:t>
            </w: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226.96</w:t>
            </w: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134.92</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lang w:val="en-US"/>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33.2</w:t>
            </w:r>
            <w:r>
              <w:rPr>
                <w:rFonts w:hint="eastAsia" w:ascii="Times New Roman Regular" w:hAnsi="Times New Roman Regular" w:cs="Times New Roman Regular"/>
                <w:i w:val="0"/>
                <w:iCs w:val="0"/>
                <w:color w:val="auto"/>
                <w:kern w:val="0"/>
                <w:sz w:val="15"/>
                <w:szCs w:val="15"/>
                <w:highlight w:val="none"/>
                <w:u w:val="none"/>
                <w:lang w:val="en-US" w:eastAsia="zh-CN" w:bidi="ar"/>
              </w:rPr>
              <w:t>9</w:t>
            </w: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03</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初中教育</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1872.42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1836.09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1746.06 </w:t>
            </w:r>
          </w:p>
        </w:tc>
        <w:tc>
          <w:tcPr>
            <w:tcW w:w="64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90.03 </w:t>
            </w: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29.06</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7.26</w:t>
            </w: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07</w:t>
            </w:r>
          </w:p>
        </w:tc>
        <w:tc>
          <w:tcPr>
            <w:tcW w:w="415"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特殊教育</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6.62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6.62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4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6.62 </w:t>
            </w: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07</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99</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其他特殊教育支出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6.62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6.62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45"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6.62 </w:t>
            </w: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09</w:t>
            </w:r>
          </w:p>
        </w:tc>
        <w:tc>
          <w:tcPr>
            <w:tcW w:w="415"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教育费附加安排的支出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13.00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lang w:val="en-US"/>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13</w:t>
            </w:r>
            <w:r>
              <w:rPr>
                <w:rFonts w:hint="eastAsia" w:ascii="Times New Roman Regular" w:hAnsi="Times New Roman Regular" w:cs="Times New Roman Regular"/>
                <w:i w:val="0"/>
                <w:iCs w:val="0"/>
                <w:color w:val="auto"/>
                <w:kern w:val="0"/>
                <w:sz w:val="15"/>
                <w:szCs w:val="15"/>
                <w:highlight w:val="none"/>
                <w:u w:val="none"/>
                <w:lang w:val="en-US" w:eastAsia="zh-CN" w:bidi="ar"/>
              </w:rPr>
              <w:t>.00</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205</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09</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99</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其他教育费附加安排的支出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13.00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lang w:val="en-US"/>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13</w:t>
            </w:r>
            <w:r>
              <w:rPr>
                <w:rFonts w:hint="eastAsia" w:ascii="Times New Roman Regular" w:hAnsi="Times New Roman Regular" w:cs="Times New Roman Regular"/>
                <w:i w:val="0"/>
                <w:iCs w:val="0"/>
                <w:color w:val="auto"/>
                <w:kern w:val="0"/>
                <w:sz w:val="15"/>
                <w:szCs w:val="15"/>
                <w:highlight w:val="none"/>
                <w:u w:val="none"/>
                <w:lang w:val="en-US" w:eastAsia="zh-CN" w:bidi="ar"/>
              </w:rPr>
              <w:t>.00</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208</w:t>
            </w:r>
          </w:p>
        </w:tc>
        <w:tc>
          <w:tcPr>
            <w:tcW w:w="431"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415"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社会保障和就业支出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551.03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535.88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535.88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15.1</w:t>
            </w:r>
            <w:r>
              <w:rPr>
                <w:rFonts w:hint="eastAsia" w:ascii="Times New Roman Regular" w:hAnsi="Times New Roman Regular" w:cs="Times New Roman Regular"/>
                <w:i w:val="0"/>
                <w:iCs w:val="0"/>
                <w:color w:val="auto"/>
                <w:kern w:val="0"/>
                <w:sz w:val="15"/>
                <w:szCs w:val="15"/>
                <w:highlight w:val="none"/>
                <w:u w:val="none"/>
                <w:lang w:val="en-US" w:eastAsia="zh-CN" w:bidi="ar"/>
              </w:rPr>
              <w:t>6</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208</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05</w:t>
            </w:r>
          </w:p>
        </w:tc>
        <w:tc>
          <w:tcPr>
            <w:tcW w:w="415"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仿宋_GB2312" w:cs="Times New Roman Regular"/>
                <w:color w:val="auto"/>
                <w:sz w:val="16"/>
                <w:szCs w:val="16"/>
                <w:highlight w:val="none"/>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行政事业单位养老支出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551.03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535.88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535.88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lang w:val="en-US"/>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15.1</w:t>
            </w:r>
            <w:r>
              <w:rPr>
                <w:rFonts w:hint="eastAsia" w:ascii="Times New Roman Regular" w:hAnsi="Times New Roman Regular" w:cs="Times New Roman Regular"/>
                <w:i w:val="0"/>
                <w:iCs w:val="0"/>
                <w:color w:val="auto"/>
                <w:kern w:val="0"/>
                <w:sz w:val="15"/>
                <w:szCs w:val="15"/>
                <w:highlight w:val="none"/>
                <w:u w:val="none"/>
                <w:lang w:val="en-US" w:eastAsia="zh-CN" w:bidi="ar"/>
              </w:rPr>
              <w:t>6</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208</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05</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事业单位离退休</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94.74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79.58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79.58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15.1</w:t>
            </w:r>
            <w:r>
              <w:rPr>
                <w:rFonts w:hint="eastAsia" w:ascii="Times New Roman Regular" w:hAnsi="Times New Roman Regular" w:cs="Times New Roman Regular"/>
                <w:i w:val="0"/>
                <w:iCs w:val="0"/>
                <w:color w:val="auto"/>
                <w:kern w:val="0"/>
                <w:sz w:val="15"/>
                <w:szCs w:val="15"/>
                <w:highlight w:val="none"/>
                <w:u w:val="none"/>
                <w:lang w:val="en-US" w:eastAsia="zh-CN" w:bidi="ar"/>
              </w:rPr>
              <w:t>6</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208</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05</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05</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机关事业单位基本养老保险缴费支出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304.20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304.20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304.20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208</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05</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6"/>
                <w:szCs w:val="16"/>
                <w:highlight w:val="none"/>
              </w:rPr>
            </w:pPr>
            <w:r>
              <w:rPr>
                <w:rFonts w:hint="default" w:ascii="Times New Roman Regular" w:hAnsi="Times New Roman Regular" w:eastAsia="宋体" w:cs="Times New Roman Regular"/>
                <w:i w:val="0"/>
                <w:iCs w:val="0"/>
                <w:color w:val="auto"/>
                <w:kern w:val="0"/>
                <w:sz w:val="16"/>
                <w:szCs w:val="16"/>
                <w:highlight w:val="none"/>
                <w:u w:val="none"/>
                <w:lang w:val="en-US" w:eastAsia="zh-CN" w:bidi="ar"/>
              </w:rPr>
              <w:t>06</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机关事业单位职业年金缴费支出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152.10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152.10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152.10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340"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210</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仿宋_GB2312" w:cs="Times New Roman Regular"/>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卫生健康支出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224.34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224.34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224.34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210</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11</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color w:val="auto"/>
                <w:sz w:val="15"/>
                <w:szCs w:val="15"/>
                <w:highlight w:val="none"/>
                <w:lang w:val="en-US" w:eastAsia="zh-CN"/>
              </w:rPr>
            </w:pPr>
            <w:r>
              <w:rPr>
                <w:rFonts w:hint="eastAsia" w:ascii="宋体" w:hAnsi="宋体" w:eastAsia="宋体" w:cs="宋体"/>
                <w:i w:val="0"/>
                <w:iCs w:val="0"/>
                <w:color w:val="auto"/>
                <w:kern w:val="0"/>
                <w:sz w:val="15"/>
                <w:szCs w:val="15"/>
                <w:highlight w:val="none"/>
                <w:u w:val="none"/>
                <w:lang w:val="en-US" w:eastAsia="zh-CN" w:bidi="ar"/>
              </w:rPr>
              <w:t>行政事业单位医疗</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224.34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224.34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224.34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210</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11</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color w:val="auto"/>
                <w:sz w:val="15"/>
                <w:szCs w:val="15"/>
                <w:highlight w:val="none"/>
                <w:lang w:val="en-US" w:eastAsia="zh-CN"/>
              </w:rPr>
            </w:pPr>
            <w:r>
              <w:rPr>
                <w:rFonts w:hint="eastAsia" w:ascii="宋体" w:hAnsi="宋体" w:eastAsia="宋体" w:cs="宋体"/>
                <w:i w:val="0"/>
                <w:iCs w:val="0"/>
                <w:color w:val="auto"/>
                <w:kern w:val="0"/>
                <w:sz w:val="15"/>
                <w:szCs w:val="15"/>
                <w:highlight w:val="none"/>
                <w:u w:val="none"/>
                <w:lang w:val="en-US" w:eastAsia="zh-CN" w:bidi="ar"/>
              </w:rPr>
              <w:t>事业单位医疗</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186.32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186.32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186.32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135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imes New Roman Regular" w:hAnsi="Times New Roman Regular" w:eastAsia="宋体" w:cs="Times New Roman Regular"/>
                <w:i w:val="0"/>
                <w:iCs w:val="0"/>
                <w:color w:val="auto"/>
                <w:kern w:val="0"/>
                <w:sz w:val="16"/>
                <w:szCs w:val="16"/>
                <w:highlight w:val="none"/>
                <w:u w:val="none"/>
                <w:lang w:val="en-US" w:eastAsia="zh-CN" w:bidi="ar"/>
              </w:rPr>
            </w:pPr>
            <w:r>
              <w:rPr>
                <w:rFonts w:hint="default" w:ascii="Times New Roman" w:hAnsi="Times New Roman" w:eastAsia="仿宋_GB2312" w:cs="Times New Roman"/>
                <w:b/>
                <w:color w:val="auto"/>
                <w:sz w:val="24"/>
                <w:szCs w:val="24"/>
                <w:highlight w:val="none"/>
              </w:rPr>
              <w:t>科目</w:t>
            </w:r>
            <w:r>
              <w:rPr>
                <w:rFonts w:hint="default" w:ascii="Times New Roman" w:hAnsi="Times New Roman" w:eastAsia="仿宋_GB2312" w:cs="Times New Roman"/>
                <w:b/>
                <w:color w:val="auto"/>
                <w:sz w:val="24"/>
                <w:szCs w:val="24"/>
                <w:highlight w:val="none"/>
                <w:lang w:val="en-US" w:eastAsia="zh-CN"/>
              </w:rPr>
              <w:t>代</w:t>
            </w:r>
            <w:r>
              <w:rPr>
                <w:rFonts w:hint="default" w:ascii="Times New Roman" w:hAnsi="Times New Roman" w:eastAsia="仿宋_GB2312" w:cs="Times New Roman"/>
                <w:b/>
                <w:color w:val="auto"/>
                <w:sz w:val="24"/>
                <w:szCs w:val="24"/>
                <w:highlight w:val="none"/>
              </w:rPr>
              <w:t>码</w:t>
            </w:r>
          </w:p>
        </w:tc>
        <w:tc>
          <w:tcPr>
            <w:tcW w:w="1016"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auto"/>
                <w:kern w:val="0"/>
                <w:sz w:val="15"/>
                <w:szCs w:val="15"/>
                <w:highlight w:val="none"/>
                <w:u w:val="none"/>
                <w:lang w:val="en-US" w:eastAsia="zh-CN" w:bidi="ar"/>
              </w:rPr>
            </w:pPr>
            <w:r>
              <w:rPr>
                <w:rFonts w:hint="default" w:ascii="Times New Roman" w:hAnsi="Times New Roman" w:eastAsia="仿宋_GB2312" w:cs="Times New Roman"/>
                <w:b/>
                <w:color w:val="auto"/>
                <w:sz w:val="20"/>
                <w:szCs w:val="20"/>
                <w:highlight w:val="none"/>
              </w:rPr>
              <w:t>科目名称</w:t>
            </w:r>
          </w:p>
        </w:tc>
        <w:tc>
          <w:tcPr>
            <w:tcW w:w="78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b/>
                <w:bCs w:val="0"/>
                <w:color w:val="auto"/>
                <w:sz w:val="20"/>
                <w:szCs w:val="20"/>
                <w:highlight w:val="none"/>
              </w:rPr>
            </w:pPr>
            <w:r>
              <w:rPr>
                <w:rFonts w:hint="default" w:ascii="Times New Roman" w:hAnsi="Times New Roman" w:eastAsia="仿宋_GB2312" w:cs="Times New Roman"/>
                <w:b/>
                <w:bCs w:val="0"/>
                <w:color w:val="auto"/>
                <w:sz w:val="20"/>
                <w:szCs w:val="20"/>
                <w:highlight w:val="none"/>
              </w:rPr>
              <w:t>总</w:t>
            </w:r>
          </w:p>
          <w:p>
            <w:pPr>
              <w:jc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default" w:ascii="Times New Roman" w:hAnsi="Times New Roman" w:eastAsia="仿宋_GB2312" w:cs="Times New Roman"/>
                <w:b/>
                <w:bCs w:val="0"/>
                <w:color w:val="auto"/>
                <w:sz w:val="20"/>
                <w:szCs w:val="20"/>
                <w:highlight w:val="none"/>
              </w:rPr>
              <w:t>计</w:t>
            </w:r>
          </w:p>
        </w:tc>
        <w:tc>
          <w:tcPr>
            <w:tcW w:w="4461" w:type="dxa"/>
            <w:gridSpan w:val="7"/>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bCs w:val="0"/>
                <w:color w:val="auto"/>
                <w:sz w:val="24"/>
                <w:szCs w:val="24"/>
                <w:highlight w:val="none"/>
              </w:rPr>
              <w:t>财  政  拨  款  (  补  助  )</w:t>
            </w:r>
          </w:p>
        </w:tc>
        <w:tc>
          <w:tcPr>
            <w:tcW w:w="448"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bCs w:val="0"/>
                <w:color w:val="auto"/>
                <w:sz w:val="20"/>
                <w:szCs w:val="20"/>
                <w:highlight w:val="none"/>
              </w:rPr>
              <w:t>财政专户（教育收费）</w:t>
            </w:r>
          </w:p>
        </w:tc>
        <w:tc>
          <w:tcPr>
            <w:tcW w:w="67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color w:val="auto"/>
                <w:sz w:val="20"/>
                <w:szCs w:val="20"/>
                <w:highlight w:val="none"/>
              </w:rPr>
              <w:t>单位资金</w:t>
            </w:r>
          </w:p>
        </w:tc>
        <w:tc>
          <w:tcPr>
            <w:tcW w:w="683"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color w:val="auto"/>
                <w:sz w:val="20"/>
                <w:szCs w:val="20"/>
                <w:highlight w:val="none"/>
              </w:rPr>
              <w:t>财政拨款结转</w:t>
            </w:r>
          </w:p>
        </w:tc>
        <w:tc>
          <w:tcPr>
            <w:tcW w:w="60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color w:val="auto"/>
                <w:sz w:val="20"/>
                <w:szCs w:val="20"/>
                <w:highlight w:val="none"/>
              </w:rPr>
              <w:t>非财政拨款结转结余</w:t>
            </w:r>
          </w:p>
        </w:tc>
      </w:tr>
      <w:tr>
        <w:tblPrEx>
          <w:tblCellMar>
            <w:top w:w="0" w:type="dxa"/>
            <w:left w:w="108" w:type="dxa"/>
            <w:bottom w:w="0" w:type="dxa"/>
            <w:right w:w="108" w:type="dxa"/>
          </w:tblCellMar>
        </w:tblPrEx>
        <w:trPr>
          <w:trHeight w:val="465" w:hRule="atLeast"/>
        </w:trPr>
        <w:tc>
          <w:tcPr>
            <w:tcW w:w="506" w:type="dxa"/>
            <w:tcBorders>
              <w:top w:val="single" w:color="auto" w:sz="4" w:space="0"/>
              <w:left w:val="single" w:color="auto" w:sz="4" w:space="0"/>
              <w:bottom w:val="single" w:color="auto" w:sz="4" w:space="0"/>
              <w:right w:val="single" w:color="auto" w:sz="4" w:space="0"/>
            </w:tcBorders>
            <w:noWrap w:val="0"/>
            <w:vAlign w:val="center"/>
          </w:tcPr>
          <w:p>
            <w:pPr>
              <w:jc w:val="right"/>
              <w:rPr>
                <w:rFonts w:hint="eastAsia" w:ascii="Times New Roman Regular" w:hAnsi="Times New Roman Regular" w:eastAsia="宋体" w:cs="Times New Roman Regular"/>
                <w:i w:val="0"/>
                <w:iCs w:val="0"/>
                <w:color w:val="auto"/>
                <w:kern w:val="0"/>
                <w:sz w:val="16"/>
                <w:szCs w:val="16"/>
                <w:highlight w:val="none"/>
                <w:u w:val="none"/>
                <w:lang w:val="en-US" w:eastAsia="zh-CN" w:bidi="ar"/>
              </w:rPr>
            </w:pPr>
            <w:r>
              <w:rPr>
                <w:rFonts w:hint="default" w:ascii="Times New Roman" w:hAnsi="Times New Roman" w:eastAsia="仿宋_GB2312" w:cs="Times New Roman"/>
                <w:b/>
                <w:color w:val="auto"/>
                <w:sz w:val="20"/>
                <w:szCs w:val="20"/>
                <w:highlight w:val="none"/>
                <w:lang w:val="en-US" w:eastAsia="zh-Hans"/>
              </w:rPr>
              <w:t>类</w:t>
            </w:r>
          </w:p>
        </w:tc>
        <w:tc>
          <w:tcPr>
            <w:tcW w:w="431" w:type="dxa"/>
            <w:tcBorders>
              <w:top w:val="single" w:color="auto" w:sz="4" w:space="0"/>
              <w:left w:val="nil"/>
              <w:bottom w:val="single" w:color="auto" w:sz="4" w:space="0"/>
              <w:right w:val="single" w:color="auto" w:sz="4" w:space="0"/>
            </w:tcBorders>
            <w:noWrap w:val="0"/>
            <w:vAlign w:val="center"/>
          </w:tcPr>
          <w:p>
            <w:pPr>
              <w:jc w:val="right"/>
              <w:rPr>
                <w:rFonts w:hint="eastAsia" w:ascii="Times New Roman Regular" w:hAnsi="Times New Roman Regular" w:eastAsia="宋体" w:cs="Times New Roman Regular"/>
                <w:i w:val="0"/>
                <w:iCs w:val="0"/>
                <w:color w:val="auto"/>
                <w:kern w:val="0"/>
                <w:sz w:val="16"/>
                <w:szCs w:val="16"/>
                <w:highlight w:val="none"/>
                <w:u w:val="none"/>
                <w:lang w:val="en-US" w:eastAsia="zh-CN" w:bidi="ar"/>
              </w:rPr>
            </w:pPr>
            <w:r>
              <w:rPr>
                <w:rFonts w:hint="default" w:ascii="Times New Roman" w:hAnsi="Times New Roman" w:eastAsia="仿宋_GB2312" w:cs="Times New Roman"/>
                <w:b/>
                <w:color w:val="auto"/>
                <w:sz w:val="20"/>
                <w:szCs w:val="20"/>
                <w:highlight w:val="none"/>
                <w:lang w:val="en-US" w:eastAsia="zh-Hans"/>
              </w:rPr>
              <w:t>款</w:t>
            </w:r>
          </w:p>
        </w:tc>
        <w:tc>
          <w:tcPr>
            <w:tcW w:w="415" w:type="dxa"/>
            <w:tcBorders>
              <w:top w:val="single" w:color="auto" w:sz="4" w:space="0"/>
              <w:left w:val="nil"/>
              <w:bottom w:val="single" w:color="auto" w:sz="4" w:space="0"/>
              <w:right w:val="single" w:color="auto" w:sz="4" w:space="0"/>
            </w:tcBorders>
            <w:noWrap w:val="0"/>
            <w:vAlign w:val="center"/>
          </w:tcPr>
          <w:p>
            <w:pPr>
              <w:jc w:val="right"/>
              <w:rPr>
                <w:rFonts w:hint="eastAsia" w:ascii="Times New Roman Regular" w:hAnsi="Times New Roman Regular" w:eastAsia="宋体" w:cs="Times New Roman Regular"/>
                <w:i w:val="0"/>
                <w:iCs w:val="0"/>
                <w:color w:val="auto"/>
                <w:kern w:val="0"/>
                <w:sz w:val="16"/>
                <w:szCs w:val="16"/>
                <w:highlight w:val="none"/>
                <w:u w:val="none"/>
                <w:lang w:val="en-US" w:eastAsia="zh-CN" w:bidi="ar"/>
              </w:rPr>
            </w:pPr>
            <w:r>
              <w:rPr>
                <w:rFonts w:hint="default" w:ascii="Times New Roman" w:hAnsi="Times New Roman" w:eastAsia="仿宋_GB2312" w:cs="Times New Roman"/>
                <w:b/>
                <w:color w:val="auto"/>
                <w:sz w:val="20"/>
                <w:szCs w:val="20"/>
                <w:highlight w:val="none"/>
                <w:lang w:val="en-US" w:eastAsia="zh-Hans"/>
              </w:rPr>
              <w:t>项</w:t>
            </w:r>
          </w:p>
        </w:tc>
        <w:tc>
          <w:tcPr>
            <w:tcW w:w="1016" w:type="dxa"/>
            <w:vMerge w:val="continue"/>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5"/>
                <w:szCs w:val="15"/>
                <w:highlight w:val="none"/>
                <w:u w:val="none"/>
                <w:lang w:val="en-US" w:eastAsia="zh-CN" w:bidi="ar"/>
              </w:rPr>
            </w:pPr>
          </w:p>
        </w:tc>
        <w:tc>
          <w:tcPr>
            <w:tcW w:w="784" w:type="dxa"/>
            <w:vMerge w:val="continue"/>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p>
        </w:tc>
        <w:tc>
          <w:tcPr>
            <w:tcW w:w="894"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default" w:ascii="Times New Roman" w:hAnsi="Times New Roman" w:eastAsia="仿宋_GB2312" w:cs="Times New Roman"/>
                <w:b/>
                <w:bCs/>
                <w:color w:val="auto"/>
                <w:sz w:val="20"/>
                <w:szCs w:val="20"/>
                <w:highlight w:val="none"/>
              </w:rPr>
              <w:t>财政拨款(补助)小计</w:t>
            </w:r>
          </w:p>
        </w:tc>
        <w:tc>
          <w:tcPr>
            <w:tcW w:w="784"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default" w:ascii="Times New Roman" w:hAnsi="Times New Roman" w:eastAsia="仿宋_GB2312" w:cs="Times New Roman"/>
                <w:b/>
                <w:bCs/>
                <w:color w:val="auto"/>
                <w:sz w:val="20"/>
                <w:szCs w:val="20"/>
                <w:highlight w:val="none"/>
              </w:rPr>
              <w:t>一般公共预算</w:t>
            </w:r>
          </w:p>
        </w:tc>
        <w:tc>
          <w:tcPr>
            <w:tcW w:w="645"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bCs/>
                <w:color w:val="auto"/>
                <w:sz w:val="20"/>
                <w:szCs w:val="20"/>
                <w:highlight w:val="none"/>
              </w:rPr>
              <w:t>上级一般公共预算安排的转移支付</w:t>
            </w:r>
          </w:p>
        </w:tc>
        <w:tc>
          <w:tcPr>
            <w:tcW w:w="401"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bCs/>
                <w:color w:val="auto"/>
                <w:sz w:val="20"/>
                <w:szCs w:val="20"/>
                <w:highlight w:val="none"/>
              </w:rPr>
              <w:t>政府性基金预算</w:t>
            </w:r>
          </w:p>
        </w:tc>
        <w:tc>
          <w:tcPr>
            <w:tcW w:w="493"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bCs/>
                <w:color w:val="auto"/>
                <w:sz w:val="20"/>
                <w:szCs w:val="20"/>
                <w:highlight w:val="none"/>
              </w:rPr>
              <w:t>上级政府性基金安排的转移支付</w:t>
            </w:r>
          </w:p>
        </w:tc>
        <w:tc>
          <w:tcPr>
            <w:tcW w:w="465"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bCs/>
                <w:color w:val="auto"/>
                <w:sz w:val="20"/>
                <w:szCs w:val="20"/>
                <w:highlight w:val="none"/>
              </w:rPr>
              <w:t>国有资本经营预算</w:t>
            </w:r>
          </w:p>
        </w:tc>
        <w:tc>
          <w:tcPr>
            <w:tcW w:w="779" w:type="dxa"/>
            <w:tcBorders>
              <w:top w:val="single" w:color="auto" w:sz="4" w:space="0"/>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r>
              <w:rPr>
                <w:rFonts w:hint="default" w:ascii="Times New Roman" w:hAnsi="Times New Roman" w:eastAsia="仿宋_GB2312" w:cs="Times New Roman"/>
                <w:b/>
                <w:bCs/>
                <w:color w:val="auto"/>
                <w:sz w:val="20"/>
                <w:szCs w:val="20"/>
                <w:highlight w:val="none"/>
              </w:rPr>
              <w:t>上级国有资本经营预算安排的转移支付</w:t>
            </w:r>
          </w:p>
        </w:tc>
        <w:tc>
          <w:tcPr>
            <w:tcW w:w="448"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210</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11</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03</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color w:val="auto"/>
                <w:sz w:val="15"/>
                <w:szCs w:val="15"/>
                <w:highlight w:val="none"/>
                <w:lang w:val="en-US" w:eastAsia="zh-CN"/>
              </w:rPr>
            </w:pPr>
            <w:r>
              <w:rPr>
                <w:rFonts w:hint="eastAsia" w:ascii="宋体" w:hAnsi="宋体" w:eastAsia="宋体" w:cs="宋体"/>
                <w:i w:val="0"/>
                <w:iCs w:val="0"/>
                <w:color w:val="auto"/>
                <w:kern w:val="0"/>
                <w:sz w:val="15"/>
                <w:szCs w:val="15"/>
                <w:highlight w:val="none"/>
                <w:u w:val="none"/>
                <w:lang w:val="en-US" w:eastAsia="zh-CN" w:bidi="ar"/>
              </w:rPr>
              <w:t>公务员医疗补助</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38.02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38.02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38.02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221</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color w:val="auto"/>
                <w:sz w:val="15"/>
                <w:szCs w:val="15"/>
                <w:highlight w:val="none"/>
                <w:lang w:val="en-US" w:eastAsia="zh-CN"/>
              </w:rPr>
            </w:pPr>
            <w:r>
              <w:rPr>
                <w:rFonts w:hint="eastAsia" w:ascii="宋体" w:hAnsi="宋体" w:eastAsia="宋体" w:cs="宋体"/>
                <w:i w:val="0"/>
                <w:iCs w:val="0"/>
                <w:color w:val="auto"/>
                <w:kern w:val="0"/>
                <w:sz w:val="15"/>
                <w:szCs w:val="15"/>
                <w:highlight w:val="none"/>
                <w:u w:val="none"/>
                <w:lang w:val="en-US" w:eastAsia="zh-CN" w:bidi="ar"/>
              </w:rPr>
              <w:t>住房保障支出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221</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color w:val="auto"/>
                <w:sz w:val="15"/>
                <w:szCs w:val="15"/>
                <w:highlight w:val="none"/>
                <w:lang w:val="en-US" w:eastAsia="zh-CN"/>
              </w:rPr>
            </w:pPr>
            <w:r>
              <w:rPr>
                <w:rFonts w:hint="eastAsia" w:ascii="宋体" w:hAnsi="宋体" w:eastAsia="宋体" w:cs="宋体"/>
                <w:i w:val="0"/>
                <w:iCs w:val="0"/>
                <w:color w:val="auto"/>
                <w:kern w:val="0"/>
                <w:sz w:val="15"/>
                <w:szCs w:val="15"/>
                <w:highlight w:val="none"/>
                <w:u w:val="none"/>
                <w:lang w:val="en-US" w:eastAsia="zh-CN" w:bidi="ar"/>
              </w:rPr>
              <w:t>住房改革支出</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221</w:t>
            </w:r>
          </w:p>
        </w:tc>
        <w:tc>
          <w:tcPr>
            <w:tcW w:w="4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02</w:t>
            </w:r>
          </w:p>
        </w:tc>
        <w:tc>
          <w:tcPr>
            <w:tcW w:w="415"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16"/>
                <w:szCs w:val="16"/>
                <w:highlight w:val="none"/>
                <w:u w:val="none"/>
                <w:lang w:val="en-US" w:eastAsia="zh-CN" w:bidi="ar"/>
              </w:rPr>
            </w:pPr>
            <w:r>
              <w:rPr>
                <w:rFonts w:hint="eastAsia" w:ascii="Times New Roman Regular" w:hAnsi="Times New Roman Regular" w:eastAsia="宋体" w:cs="Times New Roman Regular"/>
                <w:i w:val="0"/>
                <w:iCs w:val="0"/>
                <w:color w:val="auto"/>
                <w:kern w:val="0"/>
                <w:sz w:val="16"/>
                <w:szCs w:val="16"/>
                <w:highlight w:val="none"/>
                <w:u w:val="none"/>
                <w:lang w:val="en-US" w:eastAsia="zh-CN" w:bidi="ar"/>
              </w:rPr>
              <w:t>01</w:t>
            </w:r>
          </w:p>
        </w:tc>
        <w:tc>
          <w:tcPr>
            <w:tcW w:w="1016"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Times New Roman"/>
                <w:b/>
                <w:bCs/>
                <w:color w:val="auto"/>
                <w:sz w:val="15"/>
                <w:szCs w:val="15"/>
                <w:highlight w:val="none"/>
                <w:lang w:val="en-US" w:eastAsia="zh-CN"/>
              </w:rPr>
            </w:pPr>
            <w:r>
              <w:rPr>
                <w:rFonts w:hint="eastAsia" w:ascii="宋体" w:hAnsi="宋体" w:eastAsia="宋体" w:cs="宋体"/>
                <w:i w:val="0"/>
                <w:iCs w:val="0"/>
                <w:color w:val="auto"/>
                <w:kern w:val="0"/>
                <w:sz w:val="15"/>
                <w:szCs w:val="15"/>
                <w:highlight w:val="none"/>
                <w:u w:val="none"/>
                <w:lang w:val="en-US" w:eastAsia="zh-CN" w:bidi="ar"/>
              </w:rPr>
              <w:t>住房公积金</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仿宋_GB2312" w:cs="Times New Roman Regular"/>
                <w:color w:val="auto"/>
                <w:sz w:val="15"/>
                <w:szCs w:val="15"/>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 xml:space="preserve">228.15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71"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83"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c>
          <w:tcPr>
            <w:tcW w:w="600"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Regular" w:hAnsi="Times New Roman Regular" w:eastAsia="仿宋_GB2312" w:cs="Times New Roman Regular"/>
                <w:color w:val="auto"/>
                <w:sz w:val="15"/>
                <w:szCs w:val="15"/>
                <w:highlight w:val="none"/>
              </w:rPr>
            </w:pPr>
          </w:p>
        </w:tc>
      </w:tr>
      <w:tr>
        <w:tblPrEx>
          <w:tblCellMar>
            <w:top w:w="0" w:type="dxa"/>
            <w:left w:w="108" w:type="dxa"/>
            <w:bottom w:w="0" w:type="dxa"/>
            <w:right w:w="108" w:type="dxa"/>
          </w:tblCellMar>
        </w:tblPrEx>
        <w:trPr>
          <w:trHeight w:val="465" w:hRule="atLeast"/>
        </w:trPr>
        <w:tc>
          <w:tcPr>
            <w:tcW w:w="506"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431"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415"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1016"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r>
              <w:rPr>
                <w:rFonts w:hint="default" w:ascii="Times New Roman" w:hAnsi="Times New Roman" w:eastAsia="仿宋_GB2312" w:cs="Times New Roman"/>
                <w:b/>
                <w:bCs/>
                <w:color w:val="auto"/>
                <w:sz w:val="20"/>
                <w:szCs w:val="20"/>
                <w:highlight w:val="none"/>
                <w:lang w:val="en-US" w:eastAsia="zh-CN"/>
              </w:rPr>
              <w:t>总</w:t>
            </w:r>
            <w:r>
              <w:rPr>
                <w:rFonts w:hint="default" w:ascii="Times New Roman" w:hAnsi="Times New Roman" w:eastAsia="仿宋_GB2312" w:cs="Times New Roman"/>
                <w:b/>
                <w:bCs/>
                <w:color w:val="auto"/>
                <w:sz w:val="20"/>
                <w:szCs w:val="20"/>
                <w:highlight w:val="none"/>
              </w:rPr>
              <w:t>计</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eastAsia" w:ascii="Times New Roman Regular" w:hAnsi="Times New Roman Regular" w:eastAsia="宋体" w:cs="Times New Roman Regular"/>
                <w:i w:val="0"/>
                <w:iCs w:val="0"/>
                <w:color w:val="auto"/>
                <w:kern w:val="0"/>
                <w:sz w:val="15"/>
                <w:szCs w:val="15"/>
                <w:highlight w:val="none"/>
                <w:u w:val="none"/>
                <w:lang w:val="en-US" w:eastAsia="zh-CN" w:bidi="ar"/>
              </w:rPr>
              <w:t xml:space="preserve">4630.02 </w:t>
            </w:r>
          </w:p>
        </w:tc>
        <w:tc>
          <w:tcPr>
            <w:tcW w:w="89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eastAsia" w:ascii="Times New Roman Regular" w:hAnsi="Times New Roman Regular" w:eastAsia="宋体" w:cs="Times New Roman Regular"/>
                <w:i w:val="0"/>
                <w:iCs w:val="0"/>
                <w:color w:val="auto"/>
                <w:kern w:val="0"/>
                <w:sz w:val="15"/>
                <w:szCs w:val="15"/>
                <w:highlight w:val="none"/>
                <w:u w:val="none"/>
                <w:lang w:val="en-US" w:eastAsia="zh-CN" w:bidi="ar"/>
              </w:rPr>
              <w:t xml:space="preserve">4170.36 </w:t>
            </w:r>
          </w:p>
        </w:tc>
        <w:tc>
          <w:tcPr>
            <w:tcW w:w="784"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eastAsia" w:ascii="Times New Roman Regular" w:hAnsi="Times New Roman Regular" w:eastAsia="宋体" w:cs="Times New Roman Regular"/>
                <w:i w:val="0"/>
                <w:iCs w:val="0"/>
                <w:color w:val="auto"/>
                <w:kern w:val="0"/>
                <w:sz w:val="15"/>
                <w:szCs w:val="15"/>
                <w:highlight w:val="none"/>
                <w:u w:val="none"/>
                <w:lang w:val="en-US" w:eastAsia="zh-CN" w:bidi="ar"/>
              </w:rPr>
              <w:t xml:space="preserve">3938.41 </w:t>
            </w:r>
          </w:p>
        </w:tc>
        <w:tc>
          <w:tcPr>
            <w:tcW w:w="645"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r>
              <w:rPr>
                <w:rFonts w:hint="default" w:ascii="Times New Roman Regular" w:hAnsi="Times New Roman Regular" w:eastAsia="宋体" w:cs="Times New Roman Regular"/>
                <w:i w:val="0"/>
                <w:iCs w:val="0"/>
                <w:color w:val="auto"/>
                <w:kern w:val="0"/>
                <w:sz w:val="15"/>
                <w:szCs w:val="15"/>
                <w:highlight w:val="none"/>
                <w:u w:val="none"/>
                <w:lang w:val="en-US" w:eastAsia="zh-CN" w:bidi="ar"/>
              </w:rPr>
              <w:t>231.95</w:t>
            </w:r>
          </w:p>
        </w:tc>
        <w:tc>
          <w:tcPr>
            <w:tcW w:w="401"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493"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465"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779" w:type="dxa"/>
            <w:tcBorders>
              <w:top w:val="nil"/>
              <w:left w:val="nil"/>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448" w:type="dxa"/>
            <w:tcBorders>
              <w:top w:val="nil"/>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color w:val="auto"/>
                <w:sz w:val="20"/>
                <w:szCs w:val="20"/>
                <w:highlight w:val="none"/>
              </w:rPr>
            </w:pPr>
          </w:p>
        </w:tc>
        <w:tc>
          <w:tcPr>
            <w:tcW w:w="671"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eastAsia" w:ascii="Times New Roman Regular" w:hAnsi="Times New Roman Regular" w:eastAsia="宋体" w:cs="Times New Roman Regular"/>
                <w:i w:val="0"/>
                <w:iCs w:val="0"/>
                <w:color w:val="auto"/>
                <w:kern w:val="0"/>
                <w:sz w:val="15"/>
                <w:szCs w:val="15"/>
                <w:highlight w:val="none"/>
                <w:u w:val="none"/>
                <w:lang w:val="en-US" w:eastAsia="zh-CN" w:bidi="ar"/>
              </w:rPr>
              <w:t>226.96</w:t>
            </w:r>
          </w:p>
        </w:tc>
        <w:tc>
          <w:tcPr>
            <w:tcW w:w="68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eastAsia" w:ascii="Times New Roman Regular" w:hAnsi="Times New Roman Regular" w:eastAsia="宋体" w:cs="Times New Roman Regular"/>
                <w:i w:val="0"/>
                <w:iCs w:val="0"/>
                <w:color w:val="auto"/>
                <w:kern w:val="0"/>
                <w:sz w:val="15"/>
                <w:szCs w:val="15"/>
                <w:highlight w:val="none"/>
                <w:u w:val="none"/>
                <w:lang w:val="en-US" w:eastAsia="zh-CN" w:bidi="ar"/>
              </w:rPr>
              <w:t>192.15</w:t>
            </w:r>
          </w:p>
        </w:tc>
        <w:tc>
          <w:tcPr>
            <w:tcW w:w="600"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Regular" w:hAnsi="Times New Roman Regular" w:eastAsia="宋体" w:cs="Times New Roman Regular"/>
                <w:i w:val="0"/>
                <w:iCs w:val="0"/>
                <w:color w:val="auto"/>
                <w:kern w:val="0"/>
                <w:sz w:val="15"/>
                <w:szCs w:val="15"/>
                <w:highlight w:val="none"/>
                <w:u w:val="none"/>
                <w:lang w:val="en-US" w:eastAsia="zh-CN" w:bidi="ar"/>
              </w:rPr>
            </w:pPr>
            <w:r>
              <w:rPr>
                <w:rFonts w:hint="eastAsia" w:ascii="Times New Roman Regular" w:hAnsi="Times New Roman Regular" w:eastAsia="宋体" w:cs="Times New Roman Regular"/>
                <w:i w:val="0"/>
                <w:iCs w:val="0"/>
                <w:color w:val="auto"/>
                <w:kern w:val="0"/>
                <w:sz w:val="15"/>
                <w:szCs w:val="15"/>
                <w:highlight w:val="none"/>
                <w:u w:val="none"/>
                <w:lang w:val="en-US" w:eastAsia="zh-CN" w:bidi="ar"/>
              </w:rPr>
              <w:t>40.55</w:t>
            </w:r>
          </w:p>
        </w:tc>
      </w:tr>
    </w:tbl>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表3</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1"/>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单位支出总体情况表</w:t>
      </w:r>
    </w:p>
    <w:p>
      <w:pPr>
        <w:widowControl/>
        <w:spacing w:line="280" w:lineRule="exact"/>
        <w:jc w:val="center"/>
        <w:outlineLvl w:val="1"/>
        <w:rPr>
          <w:rFonts w:hint="default" w:ascii="Times New Roman" w:hAnsi="Times New Roman" w:eastAsia="仿宋_GB2312" w:cs="Times New Roman"/>
          <w:b/>
          <w:color w:val="auto"/>
          <w:kern w:val="0"/>
          <w:sz w:val="32"/>
          <w:szCs w:val="32"/>
          <w:highlight w:val="none"/>
        </w:rPr>
      </w:pPr>
    </w:p>
    <w:p>
      <w:pPr>
        <w:widowControl/>
        <w:spacing w:line="280" w:lineRule="exact"/>
        <w:jc w:val="left"/>
        <w:outlineLvl w:val="1"/>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w:t>
      </w:r>
      <w:r>
        <w:rPr>
          <w:rFonts w:hint="default" w:ascii="Times New Roman" w:hAnsi="Times New Roman" w:eastAsia="仿宋_GB2312" w:cs="Times New Roman"/>
          <w:color w:val="auto"/>
          <w:kern w:val="0"/>
          <w:sz w:val="24"/>
          <w:highlight w:val="none"/>
          <w:lang w:val="en-US" w:eastAsia="zh-CN"/>
        </w:rPr>
        <w:t xml:space="preserve"> </w:t>
      </w:r>
      <w:r>
        <w:rPr>
          <w:rFonts w:hint="eastAsia" w:eastAsia="仿宋_GB2312" w:cs="Times New Roman"/>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单位：万元 </w:t>
      </w:r>
    </w:p>
    <w:tbl>
      <w:tblPr>
        <w:tblStyle w:val="6"/>
        <w:tblW w:w="9420" w:type="dxa"/>
        <w:tblInd w:w="-240" w:type="dxa"/>
        <w:tblLayout w:type="fixed"/>
        <w:tblCellMar>
          <w:top w:w="0" w:type="dxa"/>
          <w:left w:w="108" w:type="dxa"/>
          <w:bottom w:w="0" w:type="dxa"/>
          <w:right w:w="108" w:type="dxa"/>
        </w:tblCellMar>
      </w:tblPr>
      <w:tblGrid>
        <w:gridCol w:w="546"/>
        <w:gridCol w:w="436"/>
        <w:gridCol w:w="436"/>
        <w:gridCol w:w="2517"/>
        <w:gridCol w:w="1828"/>
        <w:gridCol w:w="1828"/>
        <w:gridCol w:w="1829"/>
      </w:tblGrid>
      <w:tr>
        <w:tblPrEx>
          <w:tblCellMar>
            <w:top w:w="0" w:type="dxa"/>
            <w:left w:w="108" w:type="dxa"/>
            <w:bottom w:w="0" w:type="dxa"/>
            <w:right w:w="108" w:type="dxa"/>
          </w:tblCellMar>
        </w:tblPrEx>
        <w:trPr>
          <w:trHeight w:val="457" w:hRule="atLeast"/>
        </w:trPr>
        <w:tc>
          <w:tcPr>
            <w:tcW w:w="393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lang w:val="en-US" w:eastAsia="zh-CN"/>
              </w:rPr>
              <w:t>科</w:t>
            </w:r>
            <w:r>
              <w:rPr>
                <w:rFonts w:hint="default" w:ascii="Times New Roman" w:hAnsi="Times New Roman" w:eastAsia="仿宋_GB2312" w:cs="Times New Roman"/>
                <w:b/>
                <w:bCs/>
                <w:color w:val="auto"/>
                <w:kern w:val="0"/>
                <w:sz w:val="24"/>
                <w:szCs w:val="24"/>
                <w:highlight w:val="none"/>
              </w:rPr>
              <w:t xml:space="preserve">    目</w:t>
            </w:r>
          </w:p>
        </w:tc>
        <w:tc>
          <w:tcPr>
            <w:tcW w:w="5485" w:type="dxa"/>
            <w:gridSpan w:val="3"/>
            <w:tcBorders>
              <w:top w:val="single" w:color="auto" w:sz="4" w:space="0"/>
              <w:left w:val="nil"/>
              <w:bottom w:val="single" w:color="auto" w:sz="4" w:space="0"/>
              <w:right w:val="single" w:color="000000"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rPr>
              <w:t>支出预算</w:t>
            </w:r>
          </w:p>
        </w:tc>
      </w:tr>
      <w:tr>
        <w:tblPrEx>
          <w:tblCellMar>
            <w:top w:w="0" w:type="dxa"/>
            <w:left w:w="108" w:type="dxa"/>
            <w:bottom w:w="0" w:type="dxa"/>
            <w:right w:w="108" w:type="dxa"/>
          </w:tblCellMar>
        </w:tblPrEx>
        <w:trPr>
          <w:trHeight w:val="480" w:hRule="atLeast"/>
        </w:trPr>
        <w:tc>
          <w:tcPr>
            <w:tcW w:w="1418"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eastAsia="zh-CN"/>
              </w:rPr>
            </w:pPr>
            <w:r>
              <w:rPr>
                <w:rFonts w:hint="default" w:ascii="Times New Roman" w:hAnsi="Times New Roman" w:eastAsia="仿宋_GB2312" w:cs="Times New Roman"/>
                <w:b/>
                <w:bCs/>
                <w:color w:val="auto"/>
                <w:kern w:val="0"/>
                <w:sz w:val="20"/>
                <w:szCs w:val="20"/>
                <w:highlight w:val="none"/>
              </w:rPr>
              <w:t>科目</w:t>
            </w:r>
            <w:r>
              <w:rPr>
                <w:rFonts w:hint="default" w:ascii="Times New Roman" w:hAnsi="Times New Roman" w:eastAsia="仿宋_GB2312" w:cs="Times New Roman"/>
                <w:b/>
                <w:bCs/>
                <w:color w:val="auto"/>
                <w:kern w:val="0"/>
                <w:sz w:val="20"/>
                <w:szCs w:val="20"/>
                <w:highlight w:val="none"/>
                <w:lang w:val="en-US" w:eastAsia="zh-CN"/>
              </w:rPr>
              <w:t>代码</w:t>
            </w:r>
          </w:p>
        </w:tc>
        <w:tc>
          <w:tcPr>
            <w:tcW w:w="2517"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科目名称</w:t>
            </w:r>
          </w:p>
        </w:tc>
        <w:tc>
          <w:tcPr>
            <w:tcW w:w="1828"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合  计</w:t>
            </w:r>
          </w:p>
        </w:tc>
        <w:tc>
          <w:tcPr>
            <w:tcW w:w="1828"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基本支出</w:t>
            </w:r>
          </w:p>
        </w:tc>
        <w:tc>
          <w:tcPr>
            <w:tcW w:w="1829" w:type="dxa"/>
            <w:vMerge w:val="restart"/>
            <w:tcBorders>
              <w:top w:val="nil"/>
              <w:left w:val="single" w:color="auto" w:sz="4" w:space="0"/>
              <w:bottom w:val="single" w:color="000000"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546"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类</w:t>
            </w:r>
          </w:p>
        </w:tc>
        <w:tc>
          <w:tcPr>
            <w:tcW w:w="43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款</w:t>
            </w:r>
          </w:p>
        </w:tc>
        <w:tc>
          <w:tcPr>
            <w:tcW w:w="43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w:t>
            </w:r>
          </w:p>
        </w:tc>
        <w:tc>
          <w:tcPr>
            <w:tcW w:w="2517"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c>
          <w:tcPr>
            <w:tcW w:w="1828"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c>
          <w:tcPr>
            <w:tcW w:w="1828"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c>
          <w:tcPr>
            <w:tcW w:w="1829" w:type="dxa"/>
            <w:vMerge w:val="continue"/>
            <w:tcBorders>
              <w:top w:val="nil"/>
              <w:left w:val="single" w:color="auto" w:sz="4" w:space="0"/>
              <w:bottom w:val="single" w:color="000000"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教育支出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3626.49</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2704.96</w:t>
            </w: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921.53</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普通教育</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3606.87</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2704.96</w:t>
            </w: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901.91</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小学教育</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1734.45</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1199.29</w:t>
            </w: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535.16</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03</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初中教育</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1872.42</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1505.67</w:t>
            </w: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366.74</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07</w:t>
            </w: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特殊教育</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6.62</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07</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99</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其他特殊教育支出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6.62</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09</w:t>
            </w: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教育费附加安排的支出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13.00</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13.00</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09</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99</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其他教育费附加安排的支出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13.00</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18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13.00</w:t>
            </w: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社会保障和就业支出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551.03</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551.03</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436"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行政事业单位养老支出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551.03</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551.03</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389"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事业单位离退休</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94.74</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94.74</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机关事业单位基本养老保险缴费支出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304.20</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304.20</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06</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机关事业单位职业年金缴费支出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152.10</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152.10</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卫生健康支出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11</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行政事业单位医疗</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11</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事业单位医疗</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186.32</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186.32</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11</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03</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公务员医疗补助</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38.02</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38.02</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221</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住房保障支出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221</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住房改革支出</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05"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221</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436"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01</w:t>
            </w:r>
          </w:p>
        </w:tc>
        <w:tc>
          <w:tcPr>
            <w:tcW w:w="2517"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住房公积金</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828"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cs="Times New Roman Regular"/>
                <w:b/>
                <w:bCs/>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b/>
                <w:bCs/>
                <w:color w:val="auto"/>
                <w:kern w:val="0"/>
                <w:sz w:val="22"/>
                <w:szCs w:val="22"/>
                <w:highlight w:val="none"/>
              </w:rPr>
            </w:pPr>
          </w:p>
        </w:tc>
      </w:tr>
      <w:tr>
        <w:tblPrEx>
          <w:tblCellMar>
            <w:top w:w="0" w:type="dxa"/>
            <w:left w:w="108" w:type="dxa"/>
            <w:bottom w:w="0" w:type="dxa"/>
            <w:right w:w="108" w:type="dxa"/>
          </w:tblCellMar>
        </w:tblPrEx>
        <w:trPr>
          <w:trHeight w:val="431" w:hRule="atLeast"/>
        </w:trPr>
        <w:tc>
          <w:tcPr>
            <w:tcW w:w="546"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2"/>
                <w:szCs w:val="22"/>
                <w:highlight w:val="none"/>
              </w:rPr>
            </w:pPr>
          </w:p>
        </w:tc>
        <w:tc>
          <w:tcPr>
            <w:tcW w:w="43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2"/>
                <w:szCs w:val="22"/>
                <w:highlight w:val="none"/>
              </w:rPr>
            </w:pPr>
          </w:p>
        </w:tc>
        <w:tc>
          <w:tcPr>
            <w:tcW w:w="43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251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2"/>
                <w:szCs w:val="22"/>
                <w:highlight w:val="none"/>
              </w:rPr>
            </w:pPr>
            <w:r>
              <w:rPr>
                <w:rFonts w:hint="default" w:ascii="Times New Roman" w:hAnsi="Times New Roman" w:eastAsia="仿宋_GB2312" w:cs="Times New Roman"/>
                <w:b/>
                <w:bCs/>
                <w:color w:val="auto"/>
                <w:kern w:val="0"/>
                <w:sz w:val="20"/>
                <w:szCs w:val="20"/>
                <w:highlight w:val="none"/>
                <w:lang w:val="en-US" w:eastAsia="zh-CN"/>
              </w:rPr>
              <w:t>总</w:t>
            </w:r>
            <w:r>
              <w:rPr>
                <w:rFonts w:hint="default" w:ascii="Times New Roman" w:hAnsi="Times New Roman" w:eastAsia="仿宋_GB2312" w:cs="Times New Roman"/>
                <w:b/>
                <w:bCs/>
                <w:color w:val="auto"/>
                <w:kern w:val="0"/>
                <w:sz w:val="20"/>
                <w:szCs w:val="20"/>
                <w:highlight w:val="none"/>
              </w:rPr>
              <w:t xml:space="preserve">  计</w:t>
            </w:r>
          </w:p>
        </w:tc>
        <w:tc>
          <w:tcPr>
            <w:tcW w:w="1828"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rPr>
              <w:t>4630.0</w:t>
            </w:r>
            <w:r>
              <w:rPr>
                <w:rFonts w:hint="eastAsia" w:cs="Times New Roman"/>
                <w:color w:val="auto"/>
                <w:kern w:val="0"/>
                <w:sz w:val="24"/>
                <w:highlight w:val="none"/>
                <w:lang w:val="en-US" w:eastAsia="zh-CN"/>
              </w:rPr>
              <w:t>2</w:t>
            </w:r>
          </w:p>
        </w:tc>
        <w:tc>
          <w:tcPr>
            <w:tcW w:w="1828"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rPr>
              <w:t>3708.4</w:t>
            </w:r>
            <w:r>
              <w:rPr>
                <w:rFonts w:hint="eastAsia" w:cs="Times New Roman"/>
                <w:color w:val="auto"/>
                <w:kern w:val="0"/>
                <w:sz w:val="24"/>
                <w:highlight w:val="none"/>
                <w:lang w:val="en-US" w:eastAsia="zh-CN"/>
              </w:rPr>
              <w:t>9</w:t>
            </w:r>
          </w:p>
        </w:tc>
        <w:tc>
          <w:tcPr>
            <w:tcW w:w="1829" w:type="dxa"/>
            <w:tcBorders>
              <w:top w:val="nil"/>
              <w:left w:val="nil"/>
              <w:bottom w:val="single" w:color="auto" w:sz="4" w:space="0"/>
              <w:right w:val="single" w:color="auto" w:sz="4" w:space="0"/>
            </w:tcBorders>
            <w:noWrap w:val="0"/>
            <w:vAlign w:val="center"/>
          </w:tcPr>
          <w:p>
            <w:pPr>
              <w:widowControl/>
              <w:spacing w:line="280" w:lineRule="exact"/>
              <w:jc w:val="center"/>
              <w:rPr>
                <w:rFonts w:hint="eastAsia" w:ascii="Times New Roman" w:hAnsi="Times New Roman" w:eastAsia="宋体" w:cs="Times New Roman"/>
                <w:color w:val="auto"/>
                <w:kern w:val="0"/>
                <w:sz w:val="24"/>
                <w:highlight w:val="none"/>
                <w:lang w:val="en-US" w:eastAsia="zh-CN"/>
              </w:rPr>
            </w:pPr>
            <w:r>
              <w:rPr>
                <w:rFonts w:hint="default" w:ascii="Times New Roman" w:hAnsi="Times New Roman" w:cs="Times New Roman"/>
                <w:color w:val="auto"/>
                <w:kern w:val="0"/>
                <w:sz w:val="24"/>
                <w:highlight w:val="none"/>
              </w:rPr>
              <w:t>921.5</w:t>
            </w:r>
            <w:r>
              <w:rPr>
                <w:rFonts w:hint="eastAsia" w:cs="Times New Roman"/>
                <w:color w:val="auto"/>
                <w:kern w:val="0"/>
                <w:sz w:val="24"/>
                <w:highlight w:val="none"/>
                <w:lang w:val="en-US" w:eastAsia="zh-CN"/>
              </w:rPr>
              <w:t>3</w:t>
            </w:r>
          </w:p>
        </w:tc>
      </w:tr>
    </w:tbl>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表4</w:t>
      </w:r>
    </w:p>
    <w:p>
      <w:pPr>
        <w:widowControl/>
        <w:spacing w:before="120" w:beforeLines="50" w:line="280" w:lineRule="exact"/>
        <w:jc w:val="center"/>
        <w:outlineLvl w:val="1"/>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财政拨款收支预算总体情况表</w:t>
      </w:r>
    </w:p>
    <w:p>
      <w:pPr>
        <w:widowControl/>
        <w:spacing w:before="120" w:beforeLines="50" w:line="280" w:lineRule="exact"/>
        <w:outlineLvl w:val="1"/>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w:t>
      </w:r>
      <w:r>
        <w:rPr>
          <w:rFonts w:hint="default" w:ascii="Times New Roman" w:hAnsi="Times New Roman" w:eastAsia="仿宋_GB2312" w:cs="Times New Roman"/>
          <w:color w:val="auto"/>
          <w:kern w:val="0"/>
          <w:sz w:val="24"/>
          <w:highlight w:val="none"/>
          <w:lang w:val="en-US" w:eastAsia="zh-CN"/>
        </w:rPr>
        <w:t xml:space="preserve"> </w:t>
      </w:r>
      <w:r>
        <w:rPr>
          <w:rFonts w:hint="eastAsia" w:eastAsia="仿宋_GB2312" w:cs="Times New Roman"/>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单位：万元</w:t>
      </w:r>
    </w:p>
    <w:tbl>
      <w:tblPr>
        <w:tblStyle w:val="6"/>
        <w:tblW w:w="9449" w:type="dxa"/>
        <w:tblInd w:w="-240" w:type="dxa"/>
        <w:tblLayout w:type="fixed"/>
        <w:tblCellMar>
          <w:top w:w="0" w:type="dxa"/>
          <w:left w:w="108" w:type="dxa"/>
          <w:bottom w:w="0" w:type="dxa"/>
          <w:right w:w="108" w:type="dxa"/>
        </w:tblCellMar>
      </w:tblPr>
      <w:tblGrid>
        <w:gridCol w:w="1900"/>
        <w:gridCol w:w="931"/>
        <w:gridCol w:w="2525"/>
        <w:gridCol w:w="931"/>
        <w:gridCol w:w="931"/>
        <w:gridCol w:w="1115"/>
        <w:gridCol w:w="1116"/>
      </w:tblGrid>
      <w:tr>
        <w:tblPrEx>
          <w:tblCellMar>
            <w:top w:w="0" w:type="dxa"/>
            <w:left w:w="108" w:type="dxa"/>
            <w:bottom w:w="0" w:type="dxa"/>
            <w:right w:w="108" w:type="dxa"/>
          </w:tblCellMar>
        </w:tblPrEx>
        <w:trPr>
          <w:trHeight w:val="285" w:hRule="atLeast"/>
        </w:trPr>
        <w:tc>
          <w:tcPr>
            <w:tcW w:w="2831" w:type="dxa"/>
            <w:gridSpan w:val="2"/>
            <w:tcBorders>
              <w:top w:val="single" w:color="auto" w:sz="4" w:space="0"/>
              <w:left w:val="single" w:color="auto" w:sz="4" w:space="0"/>
              <w:bottom w:val="single" w:color="auto" w:sz="4" w:space="0"/>
              <w:right w:val="single" w:color="000000"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rPr>
              <w:t>财政拨款收入</w:t>
            </w:r>
          </w:p>
        </w:tc>
        <w:tc>
          <w:tcPr>
            <w:tcW w:w="6618" w:type="dxa"/>
            <w:gridSpan w:val="5"/>
            <w:tcBorders>
              <w:top w:val="single" w:color="auto" w:sz="4" w:space="0"/>
              <w:left w:val="nil"/>
              <w:bottom w:val="single" w:color="auto" w:sz="4" w:space="0"/>
              <w:right w:val="single" w:color="000000"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rPr>
              <w:t>财政拨款支出</w:t>
            </w:r>
          </w:p>
        </w:tc>
      </w:tr>
      <w:tr>
        <w:tblPrEx>
          <w:tblCellMar>
            <w:top w:w="0" w:type="dxa"/>
            <w:left w:w="108" w:type="dxa"/>
            <w:bottom w:w="0" w:type="dxa"/>
            <w:right w:w="108" w:type="dxa"/>
          </w:tblCellMar>
        </w:tblPrEx>
        <w:trPr>
          <w:trHeight w:val="500" w:hRule="atLeast"/>
        </w:trPr>
        <w:tc>
          <w:tcPr>
            <w:tcW w:w="190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项    目</w:t>
            </w:r>
          </w:p>
        </w:tc>
        <w:tc>
          <w:tcPr>
            <w:tcW w:w="93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合  计</w:t>
            </w:r>
          </w:p>
        </w:tc>
        <w:tc>
          <w:tcPr>
            <w:tcW w:w="252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科</w:t>
            </w:r>
            <w:r>
              <w:rPr>
                <w:rFonts w:hint="default" w:ascii="Times New Roman" w:hAnsi="Times New Roman" w:eastAsia="仿宋_GB2312" w:cs="Times New Roman"/>
                <w:b/>
                <w:bCs/>
                <w:color w:val="auto"/>
                <w:kern w:val="0"/>
                <w:sz w:val="20"/>
                <w:szCs w:val="20"/>
                <w:highlight w:val="none"/>
              </w:rPr>
              <w:t xml:space="preserve">  </w:t>
            </w:r>
            <w:r>
              <w:rPr>
                <w:rFonts w:hint="default" w:ascii="Times New Roman" w:hAnsi="Times New Roman" w:eastAsia="仿宋_GB2312" w:cs="Times New Roman"/>
                <w:b/>
                <w:bCs/>
                <w:color w:val="auto"/>
                <w:kern w:val="0"/>
                <w:sz w:val="20"/>
                <w:szCs w:val="20"/>
                <w:highlight w:val="none"/>
                <w:lang w:val="en-US" w:eastAsia="zh-CN"/>
              </w:rPr>
              <w:t>目</w:t>
            </w:r>
            <w:r>
              <w:rPr>
                <w:rFonts w:hint="default" w:ascii="Times New Roman" w:hAnsi="Times New Roman" w:eastAsia="仿宋_GB2312" w:cs="Times New Roman"/>
                <w:b/>
                <w:bCs/>
                <w:color w:val="auto"/>
                <w:kern w:val="0"/>
                <w:sz w:val="20"/>
                <w:szCs w:val="20"/>
                <w:highlight w:val="none"/>
              </w:rPr>
              <w:t xml:space="preserve">  </w:t>
            </w:r>
            <w:r>
              <w:rPr>
                <w:rFonts w:hint="default" w:ascii="Times New Roman" w:hAnsi="Times New Roman" w:eastAsia="仿宋_GB2312" w:cs="Times New Roman"/>
                <w:b/>
                <w:bCs/>
                <w:color w:val="auto"/>
                <w:kern w:val="0"/>
                <w:sz w:val="20"/>
                <w:szCs w:val="20"/>
                <w:highlight w:val="none"/>
                <w:lang w:val="en-US" w:eastAsia="zh-CN"/>
              </w:rPr>
              <w:t>名</w:t>
            </w:r>
            <w:r>
              <w:rPr>
                <w:rFonts w:hint="default" w:ascii="Times New Roman" w:hAnsi="Times New Roman" w:eastAsia="仿宋_GB2312" w:cs="Times New Roman"/>
                <w:b/>
                <w:bCs/>
                <w:color w:val="auto"/>
                <w:kern w:val="0"/>
                <w:sz w:val="20"/>
                <w:szCs w:val="20"/>
                <w:highlight w:val="none"/>
              </w:rPr>
              <w:t xml:space="preserve">  </w:t>
            </w:r>
            <w:r>
              <w:rPr>
                <w:rFonts w:hint="default" w:ascii="Times New Roman" w:hAnsi="Times New Roman" w:eastAsia="仿宋_GB2312" w:cs="Times New Roman"/>
                <w:b/>
                <w:bCs/>
                <w:color w:val="auto"/>
                <w:kern w:val="0"/>
                <w:sz w:val="20"/>
                <w:szCs w:val="20"/>
                <w:highlight w:val="none"/>
                <w:lang w:val="en-US" w:eastAsia="zh-CN"/>
              </w:rPr>
              <w:t>称</w:t>
            </w:r>
          </w:p>
        </w:tc>
        <w:tc>
          <w:tcPr>
            <w:tcW w:w="93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合 计</w:t>
            </w:r>
          </w:p>
        </w:tc>
        <w:tc>
          <w:tcPr>
            <w:tcW w:w="931"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一般公共预算</w:t>
            </w:r>
          </w:p>
        </w:tc>
        <w:tc>
          <w:tcPr>
            <w:tcW w:w="111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政府性基金预算</w:t>
            </w:r>
          </w:p>
        </w:tc>
        <w:tc>
          <w:tcPr>
            <w:tcW w:w="1116"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textAlignment w:val="auto"/>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lang w:val="en-US" w:eastAsia="zh-Hans"/>
              </w:rPr>
              <w:t>一、</w:t>
            </w:r>
            <w:r>
              <w:rPr>
                <w:rFonts w:hint="default" w:ascii="Times New Roman" w:hAnsi="Times New Roman" w:eastAsia="仿宋_GB2312" w:cs="Times New Roman"/>
                <w:color w:val="auto"/>
                <w:kern w:val="0"/>
                <w:sz w:val="18"/>
                <w:szCs w:val="18"/>
                <w:highlight w:val="none"/>
              </w:rPr>
              <w:t>财政拨款（补助）</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18"/>
                <w:szCs w:val="18"/>
                <w:highlight w:val="none"/>
              </w:rPr>
            </w:pP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201 一般公共服务支出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ind w:firstLine="180" w:firstLineChars="100"/>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 xml:space="preserve"> 一般公共预算</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Times New Roman"/>
                <w:color w:val="auto"/>
                <w:kern w:val="0"/>
                <w:sz w:val="18"/>
                <w:szCs w:val="18"/>
                <w:highlight w:val="none"/>
              </w:rPr>
            </w:pPr>
            <w:r>
              <w:rPr>
                <w:rFonts w:hint="eastAsia" w:ascii="宋体" w:hAnsi="宋体" w:eastAsia="宋体" w:cs="宋体"/>
                <w:i w:val="0"/>
                <w:iCs w:val="0"/>
                <w:color w:val="auto"/>
                <w:kern w:val="0"/>
                <w:sz w:val="20"/>
                <w:szCs w:val="20"/>
                <w:highlight w:val="none"/>
                <w:u w:val="none"/>
                <w:lang w:val="en-US" w:eastAsia="zh-CN" w:bidi="ar"/>
              </w:rPr>
              <w:t>4170.</w:t>
            </w:r>
            <w:r>
              <w:rPr>
                <w:rFonts w:hint="eastAsia" w:ascii="宋体" w:hAnsi="宋体" w:cs="宋体"/>
                <w:i w:val="0"/>
                <w:iCs w:val="0"/>
                <w:color w:val="auto"/>
                <w:kern w:val="0"/>
                <w:sz w:val="20"/>
                <w:szCs w:val="20"/>
                <w:highlight w:val="none"/>
                <w:u w:val="none"/>
                <w:lang w:val="en-US" w:eastAsia="zh-CN" w:bidi="ar"/>
              </w:rPr>
              <w:t>36</w:t>
            </w:r>
            <w:r>
              <w:rPr>
                <w:rFonts w:hint="eastAsia" w:ascii="宋体" w:hAnsi="宋体" w:cs="宋体"/>
                <w:i w:val="0"/>
                <w:iCs w:val="0"/>
                <w:color w:val="auto"/>
                <w:kern w:val="0"/>
                <w:sz w:val="22"/>
                <w:szCs w:val="22"/>
                <w:highlight w:val="none"/>
                <w:u w:val="none"/>
                <w:lang w:val="en-US" w:eastAsia="zh-CN" w:bidi="ar"/>
              </w:rPr>
              <w:t>00</w:t>
            </w:r>
            <w:r>
              <w:rPr>
                <w:rFonts w:hint="eastAsia" w:ascii="宋体" w:hAnsi="宋体" w:eastAsia="宋体" w:cs="宋体"/>
                <w:i w:val="0"/>
                <w:iCs w:val="0"/>
                <w:color w:val="auto"/>
                <w:kern w:val="0"/>
                <w:sz w:val="22"/>
                <w:szCs w:val="22"/>
                <w:highlight w:val="none"/>
                <w:u w:val="none"/>
                <w:lang w:val="en-US" w:eastAsia="zh-CN" w:bidi="ar"/>
              </w:rPr>
              <w:t>6</w:t>
            </w: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202 外交支出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 xml:space="preserve">   政府性基金预算</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right"/>
              <w:textAlignment w:val="center"/>
              <w:rPr>
                <w:rFonts w:hint="default" w:ascii="Times New Roman" w:hAnsi="Times New Roman" w:eastAsia="仿宋_GB2312" w:cs="Times New Roman"/>
                <w:color w:val="auto"/>
                <w:kern w:val="0"/>
                <w:sz w:val="18"/>
                <w:szCs w:val="18"/>
                <w:highlight w:val="none"/>
              </w:rPr>
            </w:pP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203 国防支出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 xml:space="preserve">   国有资本经营预算</w:t>
            </w: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204 公共安全支出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297"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205 教育支出</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3181.</w:t>
            </w:r>
            <w:r>
              <w:rPr>
                <w:rFonts w:hint="eastAsia" w:ascii="宋体" w:hAnsi="宋体" w:cs="宋体"/>
                <w:i w:val="0"/>
                <w:iCs w:val="0"/>
                <w:color w:val="auto"/>
                <w:kern w:val="0"/>
                <w:sz w:val="20"/>
                <w:szCs w:val="20"/>
                <w:highlight w:val="none"/>
                <w:u w:val="none"/>
                <w:lang w:val="en-US" w:eastAsia="zh-CN" w:bidi="ar"/>
              </w:rPr>
              <w:t>99</w:t>
            </w:r>
            <w:r>
              <w:rPr>
                <w:rFonts w:hint="eastAsia" w:ascii="宋体" w:hAnsi="宋体" w:eastAsia="宋体" w:cs="宋体"/>
                <w:i w:val="0"/>
                <w:iCs w:val="0"/>
                <w:color w:val="auto"/>
                <w:kern w:val="0"/>
                <w:sz w:val="20"/>
                <w:szCs w:val="20"/>
                <w:highlight w:val="none"/>
                <w:u w:val="none"/>
                <w:lang w:val="en-US" w:eastAsia="zh-CN" w:bidi="ar"/>
              </w:rPr>
              <w:t xml:space="preserve">9 </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3181.99 </w:t>
            </w: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206 科学技术支出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207 文化旅游体育与传媒支出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7"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208 社会保障和就业支出</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535.88 </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535.88 </w:t>
            </w: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209 社会保险基金支出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210</w:t>
            </w:r>
            <w:r>
              <w:rPr>
                <w:rFonts w:hint="default" w:ascii="Times New Roman" w:hAnsi="Times New Roman" w:eastAsia="仿宋_GB2312" w:cs="Times New Roman"/>
                <w:b w:val="0"/>
                <w:bCs w:val="0"/>
                <w:color w:val="auto"/>
                <w:kern w:val="0"/>
                <w:sz w:val="18"/>
                <w:szCs w:val="18"/>
                <w:highlight w:val="none"/>
                <w:lang w:val="en-US" w:eastAsia="zh-CN"/>
              </w:rPr>
              <w:t xml:space="preserve"> </w:t>
            </w:r>
            <w:r>
              <w:rPr>
                <w:rFonts w:hint="default" w:ascii="Times New Roman" w:hAnsi="Times New Roman" w:eastAsia="仿宋_GB2312" w:cs="Times New Roman"/>
                <w:b w:val="0"/>
                <w:bCs w:val="0"/>
                <w:color w:val="auto"/>
                <w:kern w:val="0"/>
                <w:sz w:val="18"/>
                <w:szCs w:val="18"/>
                <w:highlight w:val="none"/>
              </w:rPr>
              <w:t>卫生健康支出</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224.34 </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224.34 </w:t>
            </w: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211 节能环保支出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212 城乡社区支出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213 农林水支出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214 交通运输支出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215 资源勘探</w:t>
            </w:r>
            <w:r>
              <w:rPr>
                <w:rFonts w:hint="default" w:ascii="Times New Roman" w:hAnsi="Times New Roman" w:eastAsia="仿宋_GB2312" w:cs="Times New Roman"/>
                <w:b w:val="0"/>
                <w:bCs w:val="0"/>
                <w:color w:val="auto"/>
                <w:kern w:val="0"/>
                <w:sz w:val="18"/>
                <w:szCs w:val="18"/>
                <w:highlight w:val="none"/>
                <w:lang w:val="en-US" w:eastAsia="zh-Hans"/>
              </w:rPr>
              <w:t>工业</w:t>
            </w:r>
            <w:r>
              <w:rPr>
                <w:rFonts w:hint="default" w:ascii="Times New Roman" w:hAnsi="Times New Roman" w:eastAsia="仿宋_GB2312" w:cs="Times New Roman"/>
                <w:b w:val="0"/>
                <w:bCs w:val="0"/>
                <w:color w:val="auto"/>
                <w:kern w:val="0"/>
                <w:sz w:val="18"/>
                <w:szCs w:val="18"/>
                <w:highlight w:val="none"/>
              </w:rPr>
              <w:t>信息等支出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216 商业服务业等支出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217 金融支出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219 援助其他地区支出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220 自然资源海洋气象等支出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221 住房保障支出</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228.15 </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228.15 </w:t>
            </w: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222 粮油物资储备支出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223 国有资本经营预算支出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224</w:t>
            </w:r>
            <w:r>
              <w:rPr>
                <w:rFonts w:hint="default" w:ascii="Times New Roman" w:hAnsi="Times New Roman" w:eastAsia="仿宋_GB2312" w:cs="Times New Roman"/>
                <w:b w:val="0"/>
                <w:bCs w:val="0"/>
                <w:color w:val="auto"/>
                <w:kern w:val="0"/>
                <w:sz w:val="18"/>
                <w:szCs w:val="18"/>
                <w:highlight w:val="none"/>
                <w:lang w:val="en-US" w:eastAsia="zh-CN"/>
              </w:rPr>
              <w:t xml:space="preserve"> </w:t>
            </w:r>
            <w:r>
              <w:rPr>
                <w:rFonts w:hint="default" w:ascii="Times New Roman" w:hAnsi="Times New Roman" w:eastAsia="仿宋_GB2312" w:cs="Times New Roman"/>
                <w:b w:val="0"/>
                <w:bCs w:val="0"/>
                <w:color w:val="auto"/>
                <w:kern w:val="0"/>
                <w:sz w:val="18"/>
                <w:szCs w:val="18"/>
                <w:highlight w:val="none"/>
              </w:rPr>
              <w:t>灾害防治及应急管理支出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227 预备费</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229 其他支出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230</w:t>
            </w:r>
            <w:r>
              <w:rPr>
                <w:rFonts w:hint="default" w:ascii="Times New Roman" w:hAnsi="Times New Roman" w:eastAsia="仿宋_GB2312" w:cs="Times New Roman"/>
                <w:b w:val="0"/>
                <w:bCs w:val="0"/>
                <w:color w:val="auto"/>
                <w:kern w:val="0"/>
                <w:sz w:val="18"/>
                <w:szCs w:val="18"/>
                <w:highlight w:val="none"/>
                <w:lang w:val="en-US" w:eastAsia="zh-CN"/>
              </w:rPr>
              <w:t xml:space="preserve"> </w:t>
            </w:r>
            <w:r>
              <w:rPr>
                <w:rFonts w:hint="default" w:ascii="Times New Roman" w:hAnsi="Times New Roman" w:eastAsia="仿宋_GB2312" w:cs="Times New Roman"/>
                <w:b w:val="0"/>
                <w:bCs w:val="0"/>
                <w:color w:val="auto"/>
                <w:kern w:val="0"/>
                <w:sz w:val="18"/>
                <w:szCs w:val="18"/>
                <w:highlight w:val="none"/>
              </w:rPr>
              <w:t>转移性支出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231 债务还本支出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18"/>
                <w:szCs w:val="18"/>
                <w:highlight w:val="none"/>
              </w:rPr>
            </w:pPr>
            <w:r>
              <w:rPr>
                <w:rFonts w:hint="default" w:ascii="Times New Roman" w:hAnsi="Times New Roman" w:eastAsia="仿宋_GB2312" w:cs="Times New Roman"/>
                <w:b w:val="0"/>
                <w:bCs w:val="0"/>
                <w:color w:val="auto"/>
                <w:kern w:val="0"/>
                <w:sz w:val="18"/>
                <w:szCs w:val="18"/>
                <w:highlight w:val="none"/>
              </w:rPr>
              <w:t>232 债务付息支出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r>
              <w:rPr>
                <w:rFonts w:hint="default" w:ascii="Times New Roman" w:hAnsi="Times New Roman" w:eastAsia="仿宋_GB2312" w:cs="Times New Roman"/>
                <w:color w:val="auto"/>
                <w:kern w:val="0"/>
                <w:sz w:val="18"/>
                <w:szCs w:val="18"/>
                <w:highlight w:val="none"/>
              </w:rPr>
              <w:t>233 债务发行费用支出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931" w:type="dxa"/>
            <w:tcBorders>
              <w:top w:val="nil"/>
              <w:left w:val="nil"/>
              <w:bottom w:val="single" w:color="auto" w:sz="4" w:space="0"/>
              <w:right w:val="single" w:color="auto" w:sz="4" w:space="0"/>
            </w:tcBorders>
            <w:noWrap w:val="0"/>
            <w:vAlign w:val="bottom"/>
          </w:tcPr>
          <w:p>
            <w:pPr>
              <w:widowControl/>
              <w:spacing w:line="280" w:lineRule="exact"/>
              <w:jc w:val="left"/>
              <w:rPr>
                <w:rFonts w:hint="default" w:ascii="Times New Roman" w:hAnsi="Times New Roman" w:eastAsia="仿宋_GB2312" w:cs="Times New Roman"/>
                <w:color w:val="auto"/>
                <w:kern w:val="0"/>
                <w:sz w:val="18"/>
                <w:szCs w:val="18"/>
                <w:highlight w:val="none"/>
              </w:rPr>
            </w:pP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18"/>
                <w:szCs w:val="18"/>
                <w:highlight w:val="none"/>
                <w:lang w:val="en-US" w:eastAsia="zh-CN" w:bidi="ar-SA"/>
              </w:rPr>
            </w:pPr>
            <w:r>
              <w:rPr>
                <w:rFonts w:hint="default" w:ascii="Times New Roman" w:hAnsi="Times New Roman" w:eastAsia="仿宋_GB2312" w:cs="Times New Roman"/>
                <w:color w:val="auto"/>
                <w:kern w:val="0"/>
                <w:sz w:val="18"/>
                <w:szCs w:val="18"/>
                <w:highlight w:val="none"/>
                <w:lang w:val="en-US" w:eastAsia="zh-CN"/>
              </w:rPr>
              <w:t>234 抗疫特别国债安排的支出</w:t>
            </w: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931"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15"/>
                <w:szCs w:val="15"/>
                <w:highlight w:val="none"/>
              </w:rPr>
            </w:pP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r>
      <w:tr>
        <w:tblPrEx>
          <w:tblCellMar>
            <w:top w:w="0" w:type="dxa"/>
            <w:left w:w="108" w:type="dxa"/>
            <w:bottom w:w="0" w:type="dxa"/>
            <w:right w:w="108" w:type="dxa"/>
          </w:tblCellMar>
        </w:tblPrEx>
        <w:trPr>
          <w:trHeight w:val="312" w:hRule="exact"/>
        </w:trPr>
        <w:tc>
          <w:tcPr>
            <w:tcW w:w="1900"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val="0"/>
                <w:bCs w:val="0"/>
                <w:color w:val="auto"/>
                <w:kern w:val="0"/>
                <w:sz w:val="20"/>
                <w:szCs w:val="20"/>
                <w:highlight w:val="none"/>
              </w:rPr>
              <w:t>收  入  总  计</w:t>
            </w:r>
          </w:p>
        </w:tc>
        <w:tc>
          <w:tcPr>
            <w:tcW w:w="931"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b/>
                <w:bCs/>
                <w:color w:val="auto"/>
                <w:kern w:val="0"/>
                <w:sz w:val="20"/>
                <w:szCs w:val="20"/>
                <w:highlight w:val="none"/>
              </w:rPr>
            </w:pPr>
            <w:r>
              <w:rPr>
                <w:rFonts w:hint="eastAsia" w:ascii="宋体" w:hAnsi="宋体" w:eastAsia="宋体" w:cs="宋体"/>
                <w:i w:val="0"/>
                <w:iCs w:val="0"/>
                <w:color w:val="auto"/>
                <w:kern w:val="0"/>
                <w:sz w:val="20"/>
                <w:szCs w:val="20"/>
                <w:highlight w:val="none"/>
                <w:u w:val="none"/>
                <w:lang w:val="en-US" w:eastAsia="zh-CN" w:bidi="ar"/>
              </w:rPr>
              <w:t>4170.36</w:t>
            </w:r>
            <w:r>
              <w:rPr>
                <w:rFonts w:hint="default" w:ascii="Times New Roman" w:hAnsi="Times New Roman" w:eastAsia="仿宋_GB2312" w:cs="Times New Roman"/>
                <w:b/>
                <w:bCs/>
                <w:color w:val="auto"/>
                <w:kern w:val="0"/>
                <w:sz w:val="20"/>
                <w:szCs w:val="20"/>
                <w:highlight w:val="none"/>
              </w:rPr>
              <w:t>　</w:t>
            </w:r>
          </w:p>
        </w:tc>
        <w:tc>
          <w:tcPr>
            <w:tcW w:w="2525"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val="0"/>
                <w:bCs w:val="0"/>
                <w:color w:val="auto"/>
                <w:kern w:val="0"/>
                <w:sz w:val="20"/>
                <w:szCs w:val="20"/>
                <w:highlight w:val="none"/>
              </w:rPr>
            </w:pPr>
            <w:r>
              <w:rPr>
                <w:rFonts w:hint="default" w:ascii="Times New Roman" w:hAnsi="Times New Roman" w:eastAsia="仿宋_GB2312" w:cs="Times New Roman"/>
                <w:b w:val="0"/>
                <w:bCs w:val="0"/>
                <w:color w:val="auto"/>
                <w:kern w:val="0"/>
                <w:sz w:val="20"/>
                <w:szCs w:val="20"/>
                <w:highlight w:val="none"/>
              </w:rPr>
              <w:t>支  出  总  计</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4170.36 </w:t>
            </w:r>
          </w:p>
        </w:tc>
        <w:tc>
          <w:tcPr>
            <w:tcW w:w="931"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w:hAnsi="Times New Roman" w:cs="Times New Roman"/>
                <w:color w:val="auto"/>
                <w:kern w:val="0"/>
                <w:sz w:val="15"/>
                <w:szCs w:val="15"/>
                <w:highlight w:val="none"/>
              </w:rPr>
            </w:pPr>
            <w:r>
              <w:rPr>
                <w:rFonts w:hint="eastAsia" w:ascii="宋体" w:hAnsi="宋体" w:eastAsia="宋体" w:cs="宋体"/>
                <w:i w:val="0"/>
                <w:iCs w:val="0"/>
                <w:color w:val="auto"/>
                <w:kern w:val="0"/>
                <w:sz w:val="20"/>
                <w:szCs w:val="20"/>
                <w:highlight w:val="none"/>
                <w:u w:val="none"/>
                <w:lang w:val="en-US" w:eastAsia="zh-CN" w:bidi="ar"/>
              </w:rPr>
              <w:t xml:space="preserve">4170.36 </w:t>
            </w:r>
          </w:p>
        </w:tc>
        <w:tc>
          <w:tcPr>
            <w:tcW w:w="111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c>
          <w:tcPr>
            <w:tcW w:w="1116"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cs="Times New Roman"/>
                <w:color w:val="auto"/>
                <w:kern w:val="0"/>
                <w:sz w:val="18"/>
                <w:szCs w:val="18"/>
                <w:highlight w:val="none"/>
              </w:rPr>
            </w:pPr>
          </w:p>
        </w:tc>
      </w:tr>
    </w:tbl>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表5</w:t>
      </w:r>
    </w:p>
    <w:tbl>
      <w:tblPr>
        <w:tblStyle w:val="6"/>
        <w:tblW w:w="9214" w:type="dxa"/>
        <w:tblInd w:w="-34" w:type="dxa"/>
        <w:tblLayout w:type="fixed"/>
        <w:tblCellMar>
          <w:top w:w="0" w:type="dxa"/>
          <w:left w:w="108" w:type="dxa"/>
          <w:bottom w:w="0" w:type="dxa"/>
          <w:right w:w="108" w:type="dxa"/>
        </w:tblCellMar>
      </w:tblPr>
      <w:tblGrid>
        <w:gridCol w:w="546"/>
        <w:gridCol w:w="499"/>
        <w:gridCol w:w="502"/>
        <w:gridCol w:w="2479"/>
        <w:gridCol w:w="657"/>
        <w:gridCol w:w="1072"/>
        <w:gridCol w:w="158"/>
        <w:gridCol w:w="1572"/>
        <w:gridCol w:w="1729"/>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0"/>
            <w:vAlign w:val="center"/>
          </w:tcPr>
          <w:p>
            <w:pPr>
              <w:widowControl/>
              <w:jc w:val="center"/>
              <w:rPr>
                <w:rFonts w:hint="default" w:ascii="Times New Roman" w:hAnsi="Times New Roman" w:eastAsia="方正小标宋_GBK" w:cs="Times New Roman"/>
                <w:b w:val="0"/>
                <w:bCs w:val="0"/>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4026" w:type="dxa"/>
            <w:gridSpan w:val="4"/>
            <w:tcBorders>
              <w:top w:val="nil"/>
              <w:left w:val="nil"/>
              <w:bottom w:val="nil"/>
              <w:right w:val="nil"/>
            </w:tcBorders>
            <w:noWrap w:val="0"/>
            <w:vAlign w:val="center"/>
          </w:tcPr>
          <w:p>
            <w:pPr>
              <w:widowControl/>
              <w:jc w:val="left"/>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p>
        </w:tc>
        <w:tc>
          <w:tcPr>
            <w:tcW w:w="657" w:type="dxa"/>
            <w:tcBorders>
              <w:top w:val="nil"/>
              <w:left w:val="nil"/>
              <w:bottom w:val="nil"/>
              <w:right w:val="nil"/>
            </w:tcBorders>
            <w:noWrap w:val="0"/>
            <w:vAlign w:val="center"/>
          </w:tcPr>
          <w:p>
            <w:pPr>
              <w:widowControl/>
              <w:jc w:val="left"/>
              <w:rPr>
                <w:rFonts w:hint="default" w:ascii="Times New Roman" w:hAnsi="Times New Roman" w:eastAsia="仿宋_GB2312" w:cs="Times New Roman"/>
                <w:color w:val="auto"/>
                <w:kern w:val="0"/>
                <w:sz w:val="24"/>
                <w:highlight w:val="none"/>
              </w:rPr>
            </w:pPr>
          </w:p>
        </w:tc>
        <w:tc>
          <w:tcPr>
            <w:tcW w:w="1230" w:type="dxa"/>
            <w:gridSpan w:val="2"/>
            <w:tcBorders>
              <w:top w:val="nil"/>
              <w:left w:val="nil"/>
              <w:bottom w:val="nil"/>
              <w:right w:val="nil"/>
            </w:tcBorders>
            <w:noWrap w:val="0"/>
            <w:vAlign w:val="center"/>
          </w:tcPr>
          <w:p>
            <w:pPr>
              <w:widowControl/>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xml:space="preserve">  </w:t>
            </w:r>
          </w:p>
        </w:tc>
        <w:tc>
          <w:tcPr>
            <w:tcW w:w="3301" w:type="dxa"/>
            <w:gridSpan w:val="2"/>
            <w:tcBorders>
              <w:top w:val="nil"/>
              <w:left w:val="nil"/>
              <w:bottom w:val="nil"/>
              <w:right w:val="nil"/>
            </w:tcBorders>
            <w:noWrap w:val="0"/>
            <w:vAlign w:val="center"/>
          </w:tcPr>
          <w:p>
            <w:pPr>
              <w:widowControl/>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单位：万元</w:t>
            </w:r>
          </w:p>
        </w:tc>
      </w:tr>
      <w:tr>
        <w:tblPrEx>
          <w:tblCellMar>
            <w:top w:w="0" w:type="dxa"/>
            <w:left w:w="108" w:type="dxa"/>
            <w:bottom w:w="0" w:type="dxa"/>
            <w:right w:w="108" w:type="dxa"/>
          </w:tblCellMar>
        </w:tblPrEx>
        <w:trPr>
          <w:trHeight w:val="405" w:hRule="atLeast"/>
        </w:trPr>
        <w:tc>
          <w:tcPr>
            <w:tcW w:w="4026" w:type="dxa"/>
            <w:gridSpan w:val="4"/>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lang w:val="en-US" w:eastAsia="zh-CN"/>
              </w:rPr>
              <w:t>科</w:t>
            </w:r>
            <w:r>
              <w:rPr>
                <w:rFonts w:hint="default" w:ascii="Times New Roman" w:hAnsi="Times New Roman" w:eastAsia="仿宋_GB2312" w:cs="Times New Roman"/>
                <w:b/>
                <w:bCs/>
                <w:color w:val="auto"/>
                <w:kern w:val="0"/>
                <w:sz w:val="24"/>
                <w:szCs w:val="24"/>
                <w:highlight w:val="none"/>
              </w:rPr>
              <w:t xml:space="preserve">  目</w:t>
            </w:r>
          </w:p>
        </w:tc>
        <w:tc>
          <w:tcPr>
            <w:tcW w:w="5188"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rPr>
              <w:t>一般公共预算支出</w:t>
            </w:r>
          </w:p>
        </w:tc>
      </w:tr>
      <w:tr>
        <w:tblPrEx>
          <w:tblCellMar>
            <w:top w:w="0" w:type="dxa"/>
            <w:left w:w="108" w:type="dxa"/>
            <w:bottom w:w="0" w:type="dxa"/>
            <w:right w:w="108" w:type="dxa"/>
          </w:tblCellMar>
        </w:tblPrEx>
        <w:trPr>
          <w:trHeight w:val="465" w:hRule="atLeast"/>
        </w:trPr>
        <w:tc>
          <w:tcPr>
            <w:tcW w:w="1547"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lang w:eastAsia="zh-CN"/>
              </w:rPr>
            </w:pPr>
            <w:r>
              <w:rPr>
                <w:rFonts w:hint="default" w:ascii="Times New Roman" w:hAnsi="Times New Roman" w:eastAsia="仿宋_GB2312" w:cs="Times New Roman"/>
                <w:b/>
                <w:bCs/>
                <w:color w:val="auto"/>
                <w:kern w:val="0"/>
                <w:sz w:val="20"/>
                <w:szCs w:val="20"/>
                <w:highlight w:val="none"/>
              </w:rPr>
              <w:t>科目</w:t>
            </w:r>
            <w:r>
              <w:rPr>
                <w:rFonts w:hint="default" w:ascii="Times New Roman" w:hAnsi="Times New Roman" w:eastAsia="仿宋_GB2312" w:cs="Times New Roman"/>
                <w:b/>
                <w:bCs/>
                <w:color w:val="auto"/>
                <w:kern w:val="0"/>
                <w:sz w:val="20"/>
                <w:szCs w:val="20"/>
                <w:highlight w:val="none"/>
                <w:lang w:val="en-US" w:eastAsia="zh-CN"/>
              </w:rPr>
              <w:t>代码</w:t>
            </w:r>
          </w:p>
        </w:tc>
        <w:tc>
          <w:tcPr>
            <w:tcW w:w="247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科目名称</w:t>
            </w:r>
          </w:p>
        </w:tc>
        <w:tc>
          <w:tcPr>
            <w:tcW w:w="1729" w:type="dxa"/>
            <w:gridSpan w:val="2"/>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合  计</w:t>
            </w:r>
          </w:p>
        </w:tc>
        <w:tc>
          <w:tcPr>
            <w:tcW w:w="1730" w:type="dxa"/>
            <w:gridSpan w:val="2"/>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基本支出</w:t>
            </w:r>
          </w:p>
        </w:tc>
        <w:tc>
          <w:tcPr>
            <w:tcW w:w="172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项目支出</w:t>
            </w:r>
          </w:p>
        </w:tc>
      </w:tr>
      <w:tr>
        <w:tblPrEx>
          <w:tblCellMar>
            <w:top w:w="0" w:type="dxa"/>
            <w:left w:w="108" w:type="dxa"/>
            <w:bottom w:w="0" w:type="dxa"/>
            <w:right w:w="108" w:type="dxa"/>
          </w:tblCellMar>
        </w:tblPrEx>
        <w:trPr>
          <w:trHeight w:val="269" w:hRule="atLeast"/>
        </w:trPr>
        <w:tc>
          <w:tcPr>
            <w:tcW w:w="546"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类</w:t>
            </w:r>
          </w:p>
        </w:tc>
        <w:tc>
          <w:tcPr>
            <w:tcW w:w="49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款</w:t>
            </w:r>
          </w:p>
        </w:tc>
        <w:tc>
          <w:tcPr>
            <w:tcW w:w="502"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w:t>
            </w:r>
          </w:p>
        </w:tc>
        <w:tc>
          <w:tcPr>
            <w:tcW w:w="247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default" w:ascii="Times New Roman" w:hAnsi="Times New Roman" w:eastAsia="仿宋_GB2312" w:cs="Times New Roman"/>
                <w:b/>
                <w:bCs/>
                <w:color w:val="auto"/>
                <w:kern w:val="0"/>
                <w:sz w:val="20"/>
                <w:szCs w:val="20"/>
                <w:highlight w:val="none"/>
              </w:rPr>
            </w:pPr>
          </w:p>
        </w:tc>
        <w:tc>
          <w:tcPr>
            <w:tcW w:w="1729" w:type="dxa"/>
            <w:gridSpan w:val="2"/>
            <w:vMerge w:val="continue"/>
            <w:tcBorders>
              <w:top w:val="nil"/>
              <w:left w:val="single" w:color="auto" w:sz="4" w:space="0"/>
              <w:bottom w:val="single" w:color="000000" w:sz="4" w:space="0"/>
              <w:right w:val="single" w:color="auto" w:sz="4" w:space="0"/>
            </w:tcBorders>
            <w:noWrap w:val="0"/>
            <w:vAlign w:val="center"/>
          </w:tcPr>
          <w:p>
            <w:pPr>
              <w:widowControl/>
              <w:jc w:val="left"/>
              <w:rPr>
                <w:rFonts w:hint="default" w:ascii="Times New Roman" w:hAnsi="Times New Roman" w:eastAsia="仿宋_GB2312" w:cs="Times New Roman"/>
                <w:b/>
                <w:bCs/>
                <w:color w:val="auto"/>
                <w:kern w:val="0"/>
                <w:sz w:val="20"/>
                <w:szCs w:val="20"/>
                <w:highlight w:val="none"/>
              </w:rPr>
            </w:pPr>
          </w:p>
        </w:tc>
        <w:tc>
          <w:tcPr>
            <w:tcW w:w="1730" w:type="dxa"/>
            <w:gridSpan w:val="2"/>
            <w:vMerge w:val="continue"/>
            <w:tcBorders>
              <w:top w:val="nil"/>
              <w:left w:val="single" w:color="auto" w:sz="4" w:space="0"/>
              <w:bottom w:val="single" w:color="000000" w:sz="4" w:space="0"/>
              <w:right w:val="single" w:color="auto" w:sz="4" w:space="0"/>
            </w:tcBorders>
            <w:noWrap w:val="0"/>
            <w:vAlign w:val="center"/>
          </w:tcPr>
          <w:p>
            <w:pPr>
              <w:widowControl/>
              <w:jc w:val="left"/>
              <w:rPr>
                <w:rFonts w:hint="default" w:ascii="Times New Roman" w:hAnsi="Times New Roman" w:eastAsia="仿宋_GB2312" w:cs="Times New Roman"/>
                <w:b/>
                <w:bCs/>
                <w:color w:val="auto"/>
                <w:kern w:val="0"/>
                <w:sz w:val="20"/>
                <w:szCs w:val="20"/>
                <w:highlight w:val="none"/>
              </w:rPr>
            </w:pPr>
          </w:p>
        </w:tc>
        <w:tc>
          <w:tcPr>
            <w:tcW w:w="172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hint="default" w:ascii="Times New Roman" w:hAnsi="Times New Roman" w:eastAsia="仿宋_GB2312" w:cs="Times New Roman"/>
                <w:b/>
                <w:bCs/>
                <w:color w:val="auto"/>
                <w:kern w:val="0"/>
                <w:sz w:val="20"/>
                <w:szCs w:val="20"/>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b/>
                <w:color w:val="auto"/>
                <w:kern w:val="0"/>
                <w:sz w:val="22"/>
                <w:szCs w:val="22"/>
                <w:highlight w:val="none"/>
                <w:lang w:eastAsia="zh-CN"/>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99"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宋体" w:cs="Times New Roman Regular"/>
                <w:b/>
                <w:color w:val="auto"/>
                <w:kern w:val="0"/>
                <w:sz w:val="22"/>
                <w:szCs w:val="22"/>
                <w:highlight w:val="none"/>
              </w:rPr>
            </w:pPr>
          </w:p>
        </w:tc>
        <w:tc>
          <w:tcPr>
            <w:tcW w:w="502"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宋体" w:cs="Times New Roman Regular"/>
                <w:b/>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b/>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教育支出</w:t>
            </w:r>
          </w:p>
        </w:tc>
        <w:tc>
          <w:tcPr>
            <w:tcW w:w="1729"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3181.99</w:t>
            </w:r>
          </w:p>
        </w:tc>
        <w:tc>
          <w:tcPr>
            <w:tcW w:w="173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color w:val="auto"/>
                <w:kern w:val="0"/>
                <w:sz w:val="22"/>
                <w:szCs w:val="22"/>
                <w:highlight w:val="none"/>
              </w:rPr>
            </w:pPr>
            <w:r>
              <w:rPr>
                <w:rFonts w:hint="eastAsia" w:ascii="Times New Roman Regular" w:hAnsi="Times New Roman Regular" w:eastAsia="宋体" w:cs="Times New Roman Regular"/>
                <w:color w:val="auto"/>
                <w:kern w:val="0"/>
                <w:sz w:val="22"/>
                <w:szCs w:val="22"/>
                <w:highlight w:val="none"/>
                <w:lang w:val="en-US" w:eastAsia="zh-CN"/>
              </w:rPr>
              <w:t>2646.18</w:t>
            </w:r>
          </w:p>
        </w:tc>
        <w:tc>
          <w:tcPr>
            <w:tcW w:w="172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color w:val="auto"/>
                <w:kern w:val="0"/>
                <w:sz w:val="22"/>
                <w:szCs w:val="22"/>
                <w:highlight w:val="none"/>
              </w:rPr>
            </w:pPr>
            <w:r>
              <w:rPr>
                <w:rFonts w:hint="eastAsia" w:ascii="Times New Roman Regular" w:hAnsi="Times New Roman Regular" w:eastAsia="宋体" w:cs="Times New Roman Regular"/>
                <w:color w:val="auto"/>
                <w:kern w:val="0"/>
                <w:sz w:val="22"/>
                <w:szCs w:val="22"/>
                <w:highlight w:val="none"/>
                <w:lang w:val="en-US" w:eastAsia="zh-CN"/>
              </w:rPr>
              <w:t>535.81</w:t>
            </w: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502"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普通教育</w:t>
            </w:r>
          </w:p>
        </w:tc>
        <w:tc>
          <w:tcPr>
            <w:tcW w:w="1729"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3175.37</w:t>
            </w:r>
          </w:p>
        </w:tc>
        <w:tc>
          <w:tcPr>
            <w:tcW w:w="173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2646.18</w:t>
            </w:r>
          </w:p>
        </w:tc>
        <w:tc>
          <w:tcPr>
            <w:tcW w:w="172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535.81</w:t>
            </w: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小学教育</w:t>
            </w:r>
          </w:p>
        </w:tc>
        <w:tc>
          <w:tcPr>
            <w:tcW w:w="1729"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1339.28</w:t>
            </w:r>
          </w:p>
        </w:tc>
        <w:tc>
          <w:tcPr>
            <w:tcW w:w="173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default" w:ascii="Times New Roman Regular" w:hAnsi="Times New Roman Regular" w:eastAsia="宋体" w:cs="Times New Roman Regular"/>
                <w:color w:val="auto"/>
                <w:kern w:val="0"/>
                <w:sz w:val="22"/>
                <w:szCs w:val="22"/>
                <w:highlight w:val="none"/>
                <w:lang w:val="en-US" w:eastAsia="zh-CN"/>
              </w:rPr>
              <w:t>1169.57</w:t>
            </w:r>
          </w:p>
        </w:tc>
        <w:tc>
          <w:tcPr>
            <w:tcW w:w="172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169.71</w:t>
            </w: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03</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初中教育</w:t>
            </w:r>
          </w:p>
        </w:tc>
        <w:tc>
          <w:tcPr>
            <w:tcW w:w="1729"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1836.09</w:t>
            </w:r>
          </w:p>
        </w:tc>
        <w:tc>
          <w:tcPr>
            <w:tcW w:w="173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default" w:ascii="Times New Roman Regular" w:hAnsi="Times New Roman Regular" w:eastAsia="宋体" w:cs="Times New Roman Regular"/>
                <w:color w:val="auto"/>
                <w:kern w:val="0"/>
                <w:sz w:val="22"/>
                <w:szCs w:val="22"/>
                <w:highlight w:val="none"/>
                <w:lang w:val="en-US" w:eastAsia="zh-CN"/>
              </w:rPr>
              <w:t>1476.61</w:t>
            </w:r>
          </w:p>
        </w:tc>
        <w:tc>
          <w:tcPr>
            <w:tcW w:w="172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359.48</w:t>
            </w: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07</w:t>
            </w:r>
          </w:p>
        </w:tc>
        <w:tc>
          <w:tcPr>
            <w:tcW w:w="502" w:type="dxa"/>
            <w:tcBorders>
              <w:top w:val="nil"/>
              <w:left w:val="nil"/>
              <w:bottom w:val="single" w:color="auto" w:sz="4" w:space="0"/>
              <w:right w:val="single" w:color="auto" w:sz="4" w:space="0"/>
            </w:tcBorders>
            <w:noWrap w:val="0"/>
            <w:vAlign w:val="center"/>
          </w:tcPr>
          <w:p>
            <w:pPr>
              <w:jc w:val="center"/>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特殊教育</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p>
        </w:tc>
        <w:tc>
          <w:tcPr>
            <w:tcW w:w="17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6.62</w:t>
            </w: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07</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99</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其他特殊教育支出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p>
        </w:tc>
        <w:tc>
          <w:tcPr>
            <w:tcW w:w="1729"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eastAsia" w:ascii="Times New Roman Regular" w:hAnsi="Times New Roman Regular" w:eastAsia="宋体" w:cs="Times New Roman Regular"/>
                <w:i w:val="0"/>
                <w:iCs w:val="0"/>
                <w:color w:val="auto"/>
                <w:kern w:val="0"/>
                <w:sz w:val="22"/>
                <w:szCs w:val="22"/>
                <w:highlight w:val="none"/>
                <w:u w:val="none"/>
                <w:lang w:val="en-US" w:eastAsia="zh-CN" w:bidi="ar"/>
              </w:rPr>
              <w:t>6.62</w:t>
            </w: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99"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宋体" w:cs="Times New Roman Regular"/>
                <w:color w:val="auto"/>
                <w:kern w:val="0"/>
                <w:sz w:val="22"/>
                <w:szCs w:val="22"/>
                <w:highlight w:val="none"/>
              </w:rPr>
            </w:pPr>
          </w:p>
        </w:tc>
        <w:tc>
          <w:tcPr>
            <w:tcW w:w="502"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社会保障和就业支出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535.88</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535.88</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502" w:type="dxa"/>
            <w:tcBorders>
              <w:top w:val="nil"/>
              <w:left w:val="nil"/>
              <w:bottom w:val="single" w:color="auto" w:sz="4" w:space="0"/>
              <w:right w:val="single" w:color="auto" w:sz="4" w:space="0"/>
            </w:tcBorders>
            <w:noWrap w:val="0"/>
            <w:vAlign w:val="center"/>
          </w:tcPr>
          <w:p>
            <w:pPr>
              <w:jc w:val="left"/>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行政事业单位养老支出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535.88</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535.88</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事业单位离退休</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79.58</w:t>
            </w:r>
          </w:p>
        </w:tc>
        <w:tc>
          <w:tcPr>
            <w:tcW w:w="173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79.58</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机关事业单位基本养老保险缴费支出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304.20</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304.20</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208</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05</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06</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机关事业单位职业年金缴费支出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152.10</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152.10</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卫生健康支出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11</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行政事业单位医疗</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224.34</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11</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事业单位医疗</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186.32</w:t>
            </w:r>
          </w:p>
        </w:tc>
        <w:tc>
          <w:tcPr>
            <w:tcW w:w="173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186.32</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210</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11</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03</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公务员医疗补助</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38.02</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38.02</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221</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住房保障支出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221</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住房改革支出</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221</w:t>
            </w:r>
          </w:p>
        </w:tc>
        <w:tc>
          <w:tcPr>
            <w:tcW w:w="49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02</w:t>
            </w:r>
          </w:p>
        </w:tc>
        <w:tc>
          <w:tcPr>
            <w:tcW w:w="502"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01</w:t>
            </w:r>
          </w:p>
        </w:tc>
        <w:tc>
          <w:tcPr>
            <w:tcW w:w="2479" w:type="dxa"/>
            <w:tcBorders>
              <w:top w:val="nil"/>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住房公积金</w:t>
            </w:r>
          </w:p>
        </w:tc>
        <w:tc>
          <w:tcPr>
            <w:tcW w:w="1729"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i w:val="0"/>
                <w:iCs w:val="0"/>
                <w:color w:val="auto"/>
                <w:kern w:val="0"/>
                <w:sz w:val="22"/>
                <w:szCs w:val="22"/>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730" w:type="dxa"/>
            <w:gridSpan w:val="2"/>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2"/>
                <w:szCs w:val="2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228.15</w:t>
            </w:r>
          </w:p>
        </w:tc>
        <w:tc>
          <w:tcPr>
            <w:tcW w:w="1729" w:type="dxa"/>
            <w:tcBorders>
              <w:top w:val="nil"/>
              <w:left w:val="nil"/>
              <w:bottom w:val="single" w:color="auto" w:sz="4" w:space="0"/>
              <w:right w:val="single" w:color="auto" w:sz="4" w:space="0"/>
            </w:tcBorders>
            <w:noWrap w:val="0"/>
            <w:vAlign w:val="center"/>
          </w:tcPr>
          <w:p>
            <w:pPr>
              <w:widowControl/>
              <w:jc w:val="left"/>
              <w:rPr>
                <w:rFonts w:hint="default" w:ascii="Times New Roman Regular" w:hAnsi="Times New Roman Regular" w:eastAsia="宋体" w:cs="Times New Roman Regular"/>
                <w:color w:val="auto"/>
                <w:kern w:val="0"/>
                <w:sz w:val="22"/>
                <w:szCs w:val="22"/>
                <w:highlight w:val="none"/>
              </w:rPr>
            </w:pPr>
          </w:p>
        </w:tc>
      </w:tr>
      <w:tr>
        <w:tblPrEx>
          <w:tblCellMar>
            <w:top w:w="0" w:type="dxa"/>
            <w:left w:w="108" w:type="dxa"/>
            <w:bottom w:w="0" w:type="dxa"/>
            <w:right w:w="108" w:type="dxa"/>
          </w:tblCellMar>
        </w:tblPrEx>
        <w:trPr>
          <w:trHeight w:val="450" w:hRule="atLeast"/>
        </w:trPr>
        <w:tc>
          <w:tcPr>
            <w:tcW w:w="546"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cs="Times New Roman"/>
                <w:color w:val="auto"/>
                <w:kern w:val="0"/>
                <w:sz w:val="20"/>
                <w:szCs w:val="20"/>
                <w:highlight w:val="none"/>
              </w:rPr>
            </w:pPr>
          </w:p>
        </w:tc>
        <w:tc>
          <w:tcPr>
            <w:tcW w:w="499"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cs="Times New Roman"/>
                <w:color w:val="auto"/>
                <w:kern w:val="0"/>
                <w:sz w:val="20"/>
                <w:szCs w:val="20"/>
                <w:highlight w:val="none"/>
              </w:rPr>
            </w:pPr>
          </w:p>
        </w:tc>
        <w:tc>
          <w:tcPr>
            <w:tcW w:w="502"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cs="Times New Roman"/>
                <w:color w:val="auto"/>
                <w:kern w:val="0"/>
                <w:sz w:val="20"/>
                <w:szCs w:val="20"/>
                <w:highlight w:val="none"/>
              </w:rPr>
            </w:pPr>
          </w:p>
        </w:tc>
        <w:tc>
          <w:tcPr>
            <w:tcW w:w="247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cs="Times New Roman"/>
                <w:color w:val="auto"/>
                <w:kern w:val="0"/>
                <w:sz w:val="20"/>
                <w:szCs w:val="20"/>
                <w:highlight w:val="none"/>
              </w:rPr>
            </w:pPr>
            <w:r>
              <w:rPr>
                <w:rFonts w:hint="default" w:ascii="Times New Roman" w:hAnsi="Times New Roman" w:eastAsia="仿宋_GB2312" w:cs="Times New Roman"/>
                <w:b/>
                <w:bCs/>
                <w:color w:val="auto"/>
                <w:kern w:val="0"/>
                <w:sz w:val="20"/>
                <w:szCs w:val="20"/>
                <w:highlight w:val="none"/>
                <w:lang w:val="en-US" w:eastAsia="zh-CN"/>
              </w:rPr>
              <w:t>总</w:t>
            </w:r>
            <w:r>
              <w:rPr>
                <w:rFonts w:hint="default" w:ascii="Times New Roman" w:hAnsi="Times New Roman" w:eastAsia="仿宋_GB2312" w:cs="Times New Roman"/>
                <w:b/>
                <w:bCs/>
                <w:color w:val="auto"/>
                <w:kern w:val="0"/>
                <w:sz w:val="20"/>
                <w:szCs w:val="20"/>
                <w:highlight w:val="none"/>
              </w:rPr>
              <w:t xml:space="preserve">  计</w:t>
            </w:r>
          </w:p>
        </w:tc>
        <w:tc>
          <w:tcPr>
            <w:tcW w:w="1729"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宋体" w:cs="Times New Roman"/>
                <w:color w:val="auto"/>
                <w:kern w:val="0"/>
                <w:sz w:val="20"/>
                <w:szCs w:val="20"/>
                <w:highlight w:val="none"/>
                <w:lang w:val="en-US" w:eastAsia="zh-CN"/>
              </w:rPr>
            </w:pPr>
            <w:r>
              <w:rPr>
                <w:rFonts w:hint="eastAsia" w:ascii="Times New Roman Regular" w:hAnsi="Times New Roman Regular" w:eastAsia="宋体" w:cs="Times New Roman Regular"/>
                <w:color w:val="auto"/>
                <w:kern w:val="0"/>
                <w:sz w:val="22"/>
                <w:szCs w:val="22"/>
                <w:highlight w:val="none"/>
                <w:lang w:val="en-US" w:eastAsia="zh-CN"/>
              </w:rPr>
              <w:t>4170.36</w:t>
            </w:r>
          </w:p>
        </w:tc>
        <w:tc>
          <w:tcPr>
            <w:tcW w:w="1730" w:type="dxa"/>
            <w:gridSpan w:val="2"/>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cs="Times New Roman"/>
                <w:color w:val="auto"/>
                <w:kern w:val="0"/>
                <w:sz w:val="20"/>
                <w:szCs w:val="20"/>
                <w:highlight w:val="none"/>
              </w:rPr>
            </w:pPr>
            <w:r>
              <w:rPr>
                <w:rFonts w:hint="default" w:ascii="Times New Roman Regular" w:hAnsi="Times New Roman Regular" w:eastAsia="宋体" w:cs="Times New Roman Regular"/>
                <w:color w:val="auto"/>
                <w:kern w:val="0"/>
                <w:sz w:val="22"/>
                <w:szCs w:val="22"/>
                <w:highlight w:val="none"/>
                <w:lang w:val="en-US" w:eastAsia="zh-CN"/>
              </w:rPr>
              <w:t>3634.55</w:t>
            </w:r>
          </w:p>
        </w:tc>
        <w:tc>
          <w:tcPr>
            <w:tcW w:w="1729"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cs="Times New Roman"/>
                <w:color w:val="auto"/>
                <w:kern w:val="0"/>
                <w:sz w:val="20"/>
                <w:szCs w:val="20"/>
                <w:highlight w:val="none"/>
              </w:rPr>
            </w:pPr>
            <w:r>
              <w:rPr>
                <w:rFonts w:hint="eastAsia" w:ascii="Times New Roman Regular" w:hAnsi="Times New Roman Regular" w:eastAsia="宋体" w:cs="Times New Roman Regular"/>
                <w:color w:val="auto"/>
                <w:kern w:val="0"/>
                <w:sz w:val="22"/>
                <w:szCs w:val="22"/>
                <w:highlight w:val="none"/>
                <w:lang w:val="en-US" w:eastAsia="zh-CN"/>
              </w:rPr>
              <w:t>535.81</w:t>
            </w:r>
          </w:p>
        </w:tc>
      </w:tr>
    </w:tbl>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表6</w:t>
      </w:r>
    </w:p>
    <w:tbl>
      <w:tblPr>
        <w:tblStyle w:val="6"/>
        <w:tblW w:w="9328" w:type="dxa"/>
        <w:tblInd w:w="-148" w:type="dxa"/>
        <w:tblLayout w:type="fixed"/>
        <w:tblCellMar>
          <w:top w:w="0" w:type="dxa"/>
          <w:left w:w="108" w:type="dxa"/>
          <w:bottom w:w="0" w:type="dxa"/>
          <w:right w:w="108" w:type="dxa"/>
        </w:tblCellMar>
      </w:tblPr>
      <w:tblGrid>
        <w:gridCol w:w="618"/>
        <w:gridCol w:w="484"/>
        <w:gridCol w:w="3315"/>
        <w:gridCol w:w="1431"/>
        <w:gridCol w:w="1861"/>
        <w:gridCol w:w="1619"/>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noWrap w:val="0"/>
            <w:vAlign w:val="center"/>
          </w:tcPr>
          <w:p>
            <w:pPr>
              <w:widowControl/>
              <w:jc w:val="center"/>
              <w:rPr>
                <w:rFonts w:hint="default" w:ascii="Times New Roman" w:hAnsi="Times New Roman" w:eastAsia="方正小标宋_GBK" w:cs="Times New Roman"/>
                <w:b w:val="0"/>
                <w:bCs w:val="0"/>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417" w:type="dxa"/>
            <w:gridSpan w:val="3"/>
            <w:tcBorders>
              <w:top w:val="nil"/>
              <w:left w:val="nil"/>
              <w:bottom w:val="nil"/>
              <w:right w:val="nil"/>
            </w:tcBorders>
            <w:noWrap w:val="0"/>
            <w:vAlign w:val="center"/>
          </w:tcPr>
          <w:p>
            <w:pPr>
              <w:widowControl/>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p>
        </w:tc>
        <w:tc>
          <w:tcPr>
            <w:tcW w:w="4911" w:type="dxa"/>
            <w:gridSpan w:val="3"/>
            <w:tcBorders>
              <w:top w:val="nil"/>
              <w:left w:val="nil"/>
              <w:bottom w:val="nil"/>
              <w:right w:val="nil"/>
            </w:tcBorders>
            <w:noWrap w:val="0"/>
            <w:vAlign w:val="center"/>
          </w:tcPr>
          <w:p>
            <w:pPr>
              <w:widowControl/>
              <w:ind w:firstLine="720" w:firstLineChars="300"/>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单位：万元</w:t>
            </w:r>
          </w:p>
        </w:tc>
      </w:tr>
      <w:tr>
        <w:tblPrEx>
          <w:tblCellMar>
            <w:top w:w="0" w:type="dxa"/>
            <w:left w:w="108" w:type="dxa"/>
            <w:bottom w:w="0" w:type="dxa"/>
            <w:right w:w="108" w:type="dxa"/>
          </w:tblCellMar>
        </w:tblPrEx>
        <w:trPr>
          <w:trHeight w:val="374" w:hRule="atLeast"/>
        </w:trPr>
        <w:tc>
          <w:tcPr>
            <w:tcW w:w="4417" w:type="dxa"/>
            <w:gridSpan w:val="3"/>
            <w:tcBorders>
              <w:top w:val="single" w:color="auto" w:sz="4" w:space="0"/>
              <w:left w:val="single" w:color="auto" w:sz="4" w:space="0"/>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lang w:val="en-US" w:eastAsia="zh-CN"/>
              </w:rPr>
              <w:t xml:space="preserve">科  </w:t>
            </w:r>
            <w:r>
              <w:rPr>
                <w:rFonts w:hint="default" w:ascii="Times New Roman" w:hAnsi="Times New Roman" w:eastAsia="仿宋_GB2312" w:cs="Times New Roman"/>
                <w:b/>
                <w:bCs/>
                <w:color w:val="auto"/>
                <w:kern w:val="0"/>
                <w:sz w:val="24"/>
                <w:szCs w:val="24"/>
                <w:highlight w:val="none"/>
              </w:rPr>
              <w:t>目</w:t>
            </w:r>
          </w:p>
        </w:tc>
        <w:tc>
          <w:tcPr>
            <w:tcW w:w="4911" w:type="dxa"/>
            <w:gridSpan w:val="3"/>
            <w:tcBorders>
              <w:top w:val="single" w:color="auto" w:sz="4" w:space="0"/>
              <w:left w:val="nil"/>
              <w:bottom w:val="single" w:color="auto" w:sz="4" w:space="0"/>
              <w:right w:val="single" w:color="000000" w:sz="4" w:space="0"/>
            </w:tcBorders>
            <w:noWrap w:val="0"/>
            <w:vAlign w:val="center"/>
          </w:tcPr>
          <w:p>
            <w:pPr>
              <w:widowControl/>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rPr>
              <w:t>一般公共预算基本支出</w:t>
            </w:r>
          </w:p>
        </w:tc>
      </w:tr>
      <w:tr>
        <w:tblPrEx>
          <w:tblCellMar>
            <w:top w:w="0" w:type="dxa"/>
            <w:left w:w="108" w:type="dxa"/>
            <w:bottom w:w="0" w:type="dxa"/>
            <w:right w:w="108" w:type="dxa"/>
          </w:tblCellMar>
        </w:tblPrEx>
        <w:trPr>
          <w:trHeight w:val="495" w:hRule="atLeast"/>
        </w:trPr>
        <w:tc>
          <w:tcPr>
            <w:tcW w:w="1102" w:type="dxa"/>
            <w:gridSpan w:val="2"/>
            <w:tcBorders>
              <w:top w:val="single" w:color="auto" w:sz="4" w:space="0"/>
              <w:left w:val="single" w:color="auto" w:sz="4" w:space="0"/>
              <w:bottom w:val="single" w:color="auto" w:sz="4" w:space="0"/>
              <w:right w:val="nil"/>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lang w:eastAsia="zh-CN"/>
              </w:rPr>
            </w:pPr>
            <w:r>
              <w:rPr>
                <w:rFonts w:hint="default" w:ascii="Times New Roman" w:hAnsi="Times New Roman" w:eastAsia="仿宋_GB2312" w:cs="Times New Roman"/>
                <w:b/>
                <w:bCs/>
                <w:color w:val="auto"/>
                <w:kern w:val="0"/>
                <w:sz w:val="20"/>
                <w:szCs w:val="20"/>
                <w:highlight w:val="none"/>
              </w:rPr>
              <w:t>科目</w:t>
            </w:r>
            <w:r>
              <w:rPr>
                <w:rFonts w:hint="default" w:ascii="Times New Roman" w:hAnsi="Times New Roman" w:eastAsia="仿宋_GB2312" w:cs="Times New Roman"/>
                <w:b/>
                <w:bCs/>
                <w:color w:val="auto"/>
                <w:kern w:val="0"/>
                <w:sz w:val="20"/>
                <w:szCs w:val="20"/>
                <w:highlight w:val="none"/>
                <w:lang w:val="en-US" w:eastAsia="zh-CN"/>
              </w:rPr>
              <w:t>代码</w:t>
            </w:r>
          </w:p>
        </w:tc>
        <w:tc>
          <w:tcPr>
            <w:tcW w:w="3315"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科目名称</w:t>
            </w:r>
          </w:p>
        </w:tc>
        <w:tc>
          <w:tcPr>
            <w:tcW w:w="143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合  计</w:t>
            </w:r>
          </w:p>
        </w:tc>
        <w:tc>
          <w:tcPr>
            <w:tcW w:w="1861"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人员经费</w:t>
            </w:r>
          </w:p>
        </w:tc>
        <w:tc>
          <w:tcPr>
            <w:tcW w:w="161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公用经费</w:t>
            </w:r>
          </w:p>
        </w:tc>
      </w:tr>
      <w:tr>
        <w:tblPrEx>
          <w:tblCellMar>
            <w:top w:w="0" w:type="dxa"/>
            <w:left w:w="108" w:type="dxa"/>
            <w:bottom w:w="0" w:type="dxa"/>
            <w:right w:w="108" w:type="dxa"/>
          </w:tblCellMar>
        </w:tblPrEx>
        <w:trPr>
          <w:trHeight w:val="270"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类</w:t>
            </w:r>
          </w:p>
        </w:tc>
        <w:tc>
          <w:tcPr>
            <w:tcW w:w="484"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款</w:t>
            </w:r>
          </w:p>
        </w:tc>
        <w:tc>
          <w:tcPr>
            <w:tcW w:w="3315"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eastAsia="仿宋_GB2312" w:cs="Times New Roman"/>
                <w:b/>
                <w:bCs/>
                <w:color w:val="auto"/>
                <w:kern w:val="0"/>
                <w:sz w:val="20"/>
                <w:szCs w:val="20"/>
                <w:highlight w:val="none"/>
              </w:rPr>
            </w:pPr>
          </w:p>
        </w:tc>
        <w:tc>
          <w:tcPr>
            <w:tcW w:w="1431"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cs="Times New Roman"/>
                <w:b/>
                <w:bCs/>
                <w:color w:val="auto"/>
                <w:kern w:val="0"/>
                <w:sz w:val="20"/>
                <w:szCs w:val="20"/>
                <w:highlight w:val="none"/>
              </w:rPr>
            </w:pPr>
          </w:p>
        </w:tc>
        <w:tc>
          <w:tcPr>
            <w:tcW w:w="1861"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cs="Times New Roman"/>
                <w:b/>
                <w:bCs/>
                <w:color w:val="auto"/>
                <w:kern w:val="0"/>
                <w:sz w:val="20"/>
                <w:szCs w:val="20"/>
                <w:highlight w:val="none"/>
              </w:rPr>
            </w:pPr>
          </w:p>
        </w:tc>
        <w:tc>
          <w:tcPr>
            <w:tcW w:w="1619" w:type="dxa"/>
            <w:vMerge w:val="continue"/>
            <w:tcBorders>
              <w:top w:val="nil"/>
              <w:left w:val="single" w:color="auto" w:sz="4" w:space="0"/>
              <w:bottom w:val="single" w:color="000000" w:sz="4" w:space="0"/>
              <w:right w:val="single" w:color="auto" w:sz="4" w:space="0"/>
            </w:tcBorders>
            <w:noWrap w:val="0"/>
            <w:vAlign w:val="center"/>
          </w:tcPr>
          <w:p>
            <w:pPr>
              <w:widowControl/>
              <w:jc w:val="center"/>
              <w:rPr>
                <w:rFonts w:hint="default" w:ascii="Times New Roman" w:hAnsi="Times New Roman" w:cs="Times New Roman"/>
                <w:b/>
                <w:bCs/>
                <w:color w:val="auto"/>
                <w:kern w:val="0"/>
                <w:sz w:val="20"/>
                <w:szCs w:val="20"/>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color w:val="auto"/>
                <w:kern w:val="0"/>
                <w:sz w:val="22"/>
                <w:szCs w:val="22"/>
                <w:highlight w:val="none"/>
                <w:lang w:val="en-US" w:eastAsia="zh-CN"/>
              </w:rPr>
            </w:pPr>
            <w:r>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color w:val="auto"/>
                <w:kern w:val="0"/>
                <w:sz w:val="22"/>
                <w:szCs w:val="22"/>
                <w:highlight w:val="none"/>
                <w:lang w:val="en-US" w:eastAsia="zh-CN"/>
              </w:rPr>
            </w:pP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bCs w:val="0"/>
                <w:color w:val="auto"/>
                <w:kern w:val="0"/>
                <w:sz w:val="22"/>
                <w:szCs w:val="22"/>
                <w:highlight w:val="none"/>
              </w:rPr>
            </w:pPr>
            <w:r>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t>工资福利支出</w:t>
            </w:r>
          </w:p>
        </w:tc>
        <w:tc>
          <w:tcPr>
            <w:tcW w:w="1431"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bCs w:val="0"/>
                <w:color w:val="auto"/>
                <w:kern w:val="0"/>
                <w:sz w:val="22"/>
                <w:szCs w:val="22"/>
                <w:highlight w:val="none"/>
                <w:lang w:val="en-US" w:eastAsia="zh-CN"/>
              </w:rPr>
            </w:pPr>
            <w:r>
              <w:rPr>
                <w:rFonts w:hint="eastAsia" w:ascii="Times New Roman Regular" w:hAnsi="Times New Roman Regular" w:eastAsia="宋体" w:cs="Times New Roman Regular"/>
                <w:b/>
                <w:bCs w:val="0"/>
                <w:color w:val="auto"/>
                <w:kern w:val="0"/>
                <w:sz w:val="22"/>
                <w:szCs w:val="22"/>
                <w:highlight w:val="none"/>
                <w:lang w:val="en-US" w:eastAsia="zh-CN"/>
              </w:rPr>
              <w:t>3327.07</w:t>
            </w:r>
          </w:p>
        </w:tc>
        <w:tc>
          <w:tcPr>
            <w:tcW w:w="1861"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bCs w:val="0"/>
                <w:color w:val="auto"/>
                <w:kern w:val="0"/>
                <w:sz w:val="22"/>
                <w:szCs w:val="22"/>
                <w:highlight w:val="none"/>
                <w:lang w:val="en-US"/>
              </w:rPr>
            </w:pPr>
            <w:r>
              <w:rPr>
                <w:rFonts w:hint="eastAsia" w:ascii="Times New Roman Regular" w:hAnsi="Times New Roman Regular" w:eastAsia="宋体" w:cs="Times New Roman Regular"/>
                <w:b/>
                <w:bCs w:val="0"/>
                <w:color w:val="auto"/>
                <w:kern w:val="0"/>
                <w:sz w:val="22"/>
                <w:szCs w:val="22"/>
                <w:highlight w:val="none"/>
                <w:lang w:val="en-US" w:eastAsia="zh-CN"/>
              </w:rPr>
              <w:t>3327.07</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bCs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lang w:val="en-US" w:eastAsia="zh-CN"/>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01</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基本工资</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731.08</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731.08</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02</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津贴补贴</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150.07</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150.07</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03</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奖金</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523.83</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523.83</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07</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绩效工资</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511.96</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511.96</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lang w:val="en-US" w:eastAsia="zh-CN" w:bidi="ar-SA"/>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shd w:val="clear" w:color="auto" w:fill="auto"/>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lang w:val="en-US" w:eastAsia="zh-CN" w:bidi="ar-SA"/>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12</w:t>
            </w:r>
          </w:p>
        </w:tc>
        <w:tc>
          <w:tcPr>
            <w:tcW w:w="3315" w:type="dxa"/>
            <w:tcBorders>
              <w:top w:val="nil"/>
              <w:left w:val="nil"/>
              <w:bottom w:val="single" w:color="auto" w:sz="4" w:space="0"/>
              <w:right w:val="single" w:color="auto" w:sz="4" w:space="0"/>
            </w:tcBorders>
            <w:shd w:val="clear" w:color="auto" w:fill="auto"/>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lang w:val="en-US" w:eastAsia="zh-CN" w:bidi="ar-SA"/>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其他社会保障缴费</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17.11</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17.11</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color w:val="auto"/>
                <w:kern w:val="2"/>
                <w:sz w:val="22"/>
                <w:szCs w:val="22"/>
                <w:highlight w:val="none"/>
                <w:u w:val="none"/>
                <w:lang w:val="en-US" w:eastAsia="zh-CN" w:bidi="ar"/>
              </w:rPr>
              <w:t>99</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color w:val="auto"/>
                <w:kern w:val="2"/>
                <w:sz w:val="22"/>
                <w:szCs w:val="22"/>
                <w:highlight w:val="none"/>
                <w:u w:val="none"/>
                <w:lang w:bidi="ar"/>
              </w:rPr>
              <w:t>其他工资福利支出</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484.23</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iCs w:val="0"/>
                <w:color w:val="auto"/>
                <w:kern w:val="0"/>
                <w:sz w:val="22"/>
                <w:szCs w:val="22"/>
                <w:highlight w:val="none"/>
                <w:u w:val="none"/>
                <w:lang w:val="en-US" w:eastAsia="zh-CN" w:bidi="ar"/>
              </w:rPr>
              <w:t>484.23</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08</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机关事业单位基本养老保险缴费</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304.20</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304.20</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lang w:val="en-US"/>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09</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color w:val="auto"/>
                <w:kern w:val="0"/>
                <w:sz w:val="22"/>
                <w:szCs w:val="22"/>
                <w:highlight w:val="none"/>
              </w:rPr>
              <w:t>职业年金缴费</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152.10</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152.10</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10</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职工基本医疗保险缴费</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186.32</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186.32</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11</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公务员医疗补助缴费</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38.02</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38.02</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301</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13</w:t>
            </w: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val="0"/>
                <w:color w:val="auto"/>
                <w:kern w:val="0"/>
                <w:sz w:val="22"/>
                <w:szCs w:val="22"/>
                <w:highlight w:val="none"/>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住房公积金</w:t>
            </w:r>
          </w:p>
        </w:tc>
        <w:tc>
          <w:tcPr>
            <w:tcW w:w="143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228.15</w:t>
            </w:r>
          </w:p>
        </w:tc>
        <w:tc>
          <w:tcPr>
            <w:tcW w:w="1861"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b w:val="0"/>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228.15</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color w:val="auto"/>
                <w:kern w:val="0"/>
                <w:sz w:val="22"/>
                <w:szCs w:val="22"/>
                <w:highlight w:val="none"/>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color w:val="auto"/>
                <w:kern w:val="0"/>
                <w:sz w:val="22"/>
                <w:szCs w:val="22"/>
                <w:highlight w:val="none"/>
              </w:rPr>
            </w:pPr>
            <w:r>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color w:val="auto"/>
                <w:kern w:val="0"/>
                <w:sz w:val="22"/>
                <w:szCs w:val="22"/>
                <w:highlight w:val="none"/>
              </w:rPr>
            </w:pPr>
          </w:p>
        </w:tc>
        <w:tc>
          <w:tcPr>
            <w:tcW w:w="3315" w:type="dxa"/>
            <w:tcBorders>
              <w:top w:val="nil"/>
              <w:left w:val="nil"/>
              <w:bottom w:val="single" w:color="auto" w:sz="4" w:space="0"/>
              <w:right w:val="single" w:color="auto" w:sz="4" w:space="0"/>
            </w:tcBorders>
            <w:noWrap w:val="0"/>
            <w:vAlign w:val="center"/>
          </w:tcPr>
          <w:p>
            <w:pPr>
              <w:keepNext w:val="0"/>
              <w:keepLines w:val="0"/>
              <w:widowControl/>
              <w:suppressLineNumbers w:val="0"/>
              <w:jc w:val="center"/>
              <w:textAlignment w:val="auto"/>
              <w:rPr>
                <w:rFonts w:hint="default" w:ascii="Times New Roman Regular" w:hAnsi="Times New Roman Regular" w:eastAsia="宋体" w:cs="Times New Roman Regular"/>
                <w:b/>
                <w:bCs w:val="0"/>
                <w:color w:val="auto"/>
                <w:kern w:val="0"/>
                <w:sz w:val="22"/>
                <w:szCs w:val="22"/>
                <w:highlight w:val="none"/>
              </w:rPr>
            </w:pPr>
            <w:r>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t>商品和服务支出</w:t>
            </w:r>
          </w:p>
        </w:tc>
        <w:tc>
          <w:tcPr>
            <w:tcW w:w="1431"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bCs w:val="0"/>
                <w:color w:val="auto"/>
                <w:kern w:val="0"/>
                <w:sz w:val="22"/>
                <w:szCs w:val="22"/>
                <w:highlight w:val="none"/>
              </w:rPr>
            </w:pPr>
            <w:r>
              <w:rPr>
                <w:rFonts w:hint="eastAsia" w:ascii="Times New Roman Regular" w:hAnsi="Times New Roman Regular" w:eastAsia="宋体" w:cs="Times New Roman Regular"/>
                <w:b/>
                <w:bCs w:val="0"/>
                <w:color w:val="auto"/>
                <w:kern w:val="0"/>
                <w:sz w:val="22"/>
                <w:szCs w:val="22"/>
                <w:highlight w:val="none"/>
                <w:lang w:val="en-US" w:eastAsia="zh-CN"/>
              </w:rPr>
              <w:t>225.38</w:t>
            </w:r>
          </w:p>
        </w:tc>
        <w:tc>
          <w:tcPr>
            <w:tcW w:w="1861"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bCs w:val="0"/>
                <w:color w:val="auto"/>
                <w:kern w:val="0"/>
                <w:sz w:val="22"/>
                <w:szCs w:val="22"/>
                <w:highlight w:val="none"/>
              </w:rPr>
            </w:pP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bCs w:val="0"/>
                <w:color w:val="auto"/>
                <w:kern w:val="0"/>
                <w:sz w:val="22"/>
                <w:szCs w:val="22"/>
                <w:highlight w:val="none"/>
                <w:lang w:val="en-US" w:eastAsia="zh-CN"/>
              </w:rPr>
            </w:pPr>
            <w:r>
              <w:rPr>
                <w:rFonts w:hint="eastAsia" w:ascii="Times New Roman Regular" w:hAnsi="Times New Roman Regular" w:eastAsia="宋体" w:cs="Times New Roman Regular"/>
                <w:b/>
                <w:bCs w:val="0"/>
                <w:color w:val="auto"/>
                <w:kern w:val="0"/>
                <w:sz w:val="22"/>
                <w:szCs w:val="22"/>
                <w:highlight w:val="none"/>
                <w:lang w:val="en-US" w:eastAsia="zh-CN"/>
              </w:rPr>
              <w:t>225.38</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05</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水费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7.5</w:t>
            </w:r>
            <w:r>
              <w:rPr>
                <w:rFonts w:hint="eastAsia" w:ascii="Times New Roman Regular" w:hAnsi="Times New Roman Regular" w:cs="Times New Roman Regular"/>
                <w:b w:val="0"/>
                <w:i w:val="0"/>
                <w:color w:val="auto"/>
                <w:kern w:val="2"/>
                <w:sz w:val="22"/>
                <w:szCs w:val="22"/>
                <w:highlight w:val="none"/>
                <w:u w:val="none"/>
                <w:lang w:val="en-US" w:eastAsia="zh-CN" w:bidi="ar"/>
              </w:rPr>
              <w:t>0</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7.5</w:t>
            </w:r>
            <w:r>
              <w:rPr>
                <w:rFonts w:hint="eastAsia" w:ascii="Times New Roman Regular" w:hAnsi="Times New Roman Regular" w:cs="Times New Roman Regular"/>
                <w:b w:val="0"/>
                <w:i w:val="0"/>
                <w:color w:val="auto"/>
                <w:kern w:val="2"/>
                <w:sz w:val="22"/>
                <w:szCs w:val="22"/>
                <w:highlight w:val="none"/>
                <w:u w:val="none"/>
                <w:lang w:val="en-US" w:eastAsia="zh-CN" w:bidi="ar"/>
              </w:rPr>
              <w:t>0</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06</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电费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14</w:t>
            </w:r>
            <w:r>
              <w:rPr>
                <w:rFonts w:hint="eastAsia" w:ascii="Times New Roman Regular" w:hAnsi="Times New Roman Regular" w:cs="Times New Roman Regular"/>
                <w:b w:val="0"/>
                <w:i w:val="0"/>
                <w:color w:val="auto"/>
                <w:kern w:val="2"/>
                <w:sz w:val="22"/>
                <w:szCs w:val="22"/>
                <w:highlight w:val="none"/>
                <w:u w:val="none"/>
                <w:lang w:val="en-US" w:eastAsia="zh-CN" w:bidi="ar"/>
              </w:rPr>
              <w:t>.00</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14</w:t>
            </w:r>
            <w:r>
              <w:rPr>
                <w:rFonts w:hint="eastAsia" w:ascii="Times New Roman Regular" w:hAnsi="Times New Roman Regular" w:cs="Times New Roman Regular"/>
                <w:b w:val="0"/>
                <w:i w:val="0"/>
                <w:color w:val="auto"/>
                <w:kern w:val="2"/>
                <w:sz w:val="22"/>
                <w:szCs w:val="22"/>
                <w:highlight w:val="none"/>
                <w:u w:val="none"/>
                <w:lang w:val="en-US" w:eastAsia="zh-CN" w:bidi="ar"/>
              </w:rPr>
              <w:t>.00</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07</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邮电费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1.7</w:t>
            </w:r>
            <w:r>
              <w:rPr>
                <w:rFonts w:hint="eastAsia" w:ascii="Times New Roman Regular" w:hAnsi="Times New Roman Regular" w:cs="Times New Roman Regular"/>
                <w:b w:val="0"/>
                <w:i w:val="0"/>
                <w:color w:val="auto"/>
                <w:kern w:val="2"/>
                <w:sz w:val="22"/>
                <w:szCs w:val="22"/>
                <w:highlight w:val="none"/>
                <w:u w:val="none"/>
                <w:lang w:val="en-US" w:eastAsia="zh-CN" w:bidi="ar"/>
              </w:rPr>
              <w:t>0</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1.7</w:t>
            </w:r>
            <w:r>
              <w:rPr>
                <w:rFonts w:hint="eastAsia" w:ascii="Times New Roman Regular" w:hAnsi="Times New Roman Regular" w:cs="Times New Roman Regular"/>
                <w:b w:val="0"/>
                <w:i w:val="0"/>
                <w:color w:val="auto"/>
                <w:kern w:val="2"/>
                <w:sz w:val="22"/>
                <w:szCs w:val="22"/>
                <w:highlight w:val="none"/>
                <w:u w:val="none"/>
                <w:lang w:val="en-US" w:eastAsia="zh-CN" w:bidi="ar"/>
              </w:rPr>
              <w:t>0</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16</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培训费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cs="Times New Roman Regular"/>
                <w:b w:val="0"/>
                <w:i w:val="0"/>
                <w:color w:val="auto"/>
                <w:kern w:val="2"/>
                <w:sz w:val="22"/>
                <w:szCs w:val="22"/>
                <w:highlight w:val="none"/>
                <w:u w:val="none"/>
                <w:lang w:val="en-US" w:eastAsia="zh-CN" w:bidi="ar"/>
              </w:rPr>
              <w:t>8.54</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cs="Times New Roman Regular"/>
                <w:b w:val="0"/>
                <w:i w:val="0"/>
                <w:color w:val="auto"/>
                <w:kern w:val="2"/>
                <w:sz w:val="22"/>
                <w:szCs w:val="22"/>
                <w:highlight w:val="none"/>
                <w:u w:val="none"/>
                <w:lang w:val="en-US" w:eastAsia="zh-CN" w:bidi="ar"/>
              </w:rPr>
              <w:t>8.54</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26</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劳务费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46.98</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46.98</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28</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工会经费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44.84</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44.84</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eastAsia"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eastAsia"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31</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eastAsia"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公务用车运行维护费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eastAsia"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2.46</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eastAsia"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2.46</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302</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99</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其他商品和服务支出</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99.36</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99.36</w:t>
            </w: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bCs w:val="0"/>
                <w:i w:val="0"/>
                <w:color w:val="auto"/>
                <w:kern w:val="2"/>
                <w:sz w:val="22"/>
                <w:szCs w:val="22"/>
                <w:highlight w:val="none"/>
                <w:u w:val="none"/>
                <w:lang w:val="en-US" w:eastAsia="zh-CN" w:bidi="ar"/>
              </w:rPr>
              <w:t>303</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pP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bCs w:val="0"/>
                <w:i w:val="0"/>
                <w:color w:val="auto"/>
                <w:kern w:val="2"/>
                <w:sz w:val="22"/>
                <w:szCs w:val="22"/>
                <w:highlight w:val="none"/>
                <w:u w:val="none"/>
                <w:lang w:val="en-US" w:eastAsia="zh-CN" w:bidi="ar"/>
              </w:rPr>
              <w:t>对个人和家庭的补助</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bCs w:val="0"/>
                <w:i w:val="0"/>
                <w:color w:val="auto"/>
                <w:kern w:val="2"/>
                <w:sz w:val="22"/>
                <w:szCs w:val="22"/>
                <w:highlight w:val="none"/>
                <w:u w:val="none"/>
                <w:lang w:val="en-US" w:eastAsia="zh-CN" w:bidi="ar"/>
              </w:rPr>
              <w:t>82.10</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bCs w:val="0"/>
                <w:i w:val="0"/>
                <w:color w:val="auto"/>
                <w:kern w:val="2"/>
                <w:sz w:val="22"/>
                <w:szCs w:val="22"/>
                <w:highlight w:val="none"/>
                <w:u w:val="none"/>
                <w:lang w:val="en-US" w:eastAsia="zh-CN" w:bidi="ar"/>
              </w:rPr>
              <w:t>82.10</w:t>
            </w: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bCs w:val="0"/>
                <w:i w:val="0"/>
                <w:color w:val="auto"/>
                <w:kern w:val="2"/>
                <w:sz w:val="22"/>
                <w:szCs w:val="22"/>
                <w:highlight w:val="none"/>
                <w:u w:val="none"/>
                <w:lang w:val="en-US" w:eastAsia="zh-CN" w:bidi="ar"/>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303</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02</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退休费</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72.57</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default" w:ascii="Times New Roman Regular" w:hAnsi="Times New Roman Regular" w:eastAsia="宋体" w:cs="Times New Roman Regular"/>
                <w:b w:val="0"/>
                <w:i w:val="0"/>
                <w:color w:val="auto"/>
                <w:kern w:val="2"/>
                <w:sz w:val="22"/>
                <w:szCs w:val="22"/>
                <w:highlight w:val="none"/>
                <w:u w:val="none"/>
                <w:lang w:val="en-US" w:eastAsia="zh-CN" w:bidi="ar"/>
              </w:rPr>
              <w:t>72.57</w:t>
            </w: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303</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09</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奖励金</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2.78</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2.78</w:t>
            </w: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303</w:t>
            </w:r>
          </w:p>
        </w:tc>
        <w:tc>
          <w:tcPr>
            <w:tcW w:w="484"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99</w:t>
            </w:r>
          </w:p>
        </w:tc>
        <w:tc>
          <w:tcPr>
            <w:tcW w:w="3315"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其他对个人和家庭的补助</w:t>
            </w:r>
          </w:p>
        </w:tc>
        <w:tc>
          <w:tcPr>
            <w:tcW w:w="143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6.76</w:t>
            </w:r>
          </w:p>
        </w:tc>
        <w:tc>
          <w:tcPr>
            <w:tcW w:w="1861"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r>
              <w:rPr>
                <w:rFonts w:hint="eastAsia" w:ascii="Times New Roman Regular" w:hAnsi="Times New Roman Regular" w:eastAsia="宋体" w:cs="Times New Roman Regular"/>
                <w:b w:val="0"/>
                <w:i w:val="0"/>
                <w:color w:val="auto"/>
                <w:kern w:val="2"/>
                <w:sz w:val="22"/>
                <w:szCs w:val="22"/>
                <w:highlight w:val="none"/>
                <w:u w:val="none"/>
                <w:lang w:val="en-US" w:eastAsia="zh-CN" w:bidi="ar"/>
              </w:rPr>
              <w:t>6.76</w:t>
            </w:r>
          </w:p>
        </w:tc>
        <w:tc>
          <w:tcPr>
            <w:tcW w:w="1619" w:type="dxa"/>
            <w:tcBorders>
              <w:top w:val="nil"/>
              <w:left w:val="nil"/>
              <w:bottom w:val="single" w:color="auto" w:sz="4" w:space="0"/>
              <w:right w:val="single" w:color="auto" w:sz="4" w:space="0"/>
            </w:tcBorders>
            <w:noWrap w:val="0"/>
            <w:vAlign w:val="center"/>
          </w:tcPr>
          <w:p>
            <w:pPr>
              <w:widowControl/>
              <w:jc w:val="center"/>
              <w:textAlignment w:val="auto"/>
              <w:rPr>
                <w:rFonts w:hint="default" w:ascii="Times New Roman Regular" w:hAnsi="Times New Roman Regular" w:eastAsia="宋体" w:cs="Times New Roman Regular"/>
                <w:b w:val="0"/>
                <w:i w:val="0"/>
                <w:color w:val="auto"/>
                <w:kern w:val="2"/>
                <w:sz w:val="22"/>
                <w:szCs w:val="22"/>
                <w:highlight w:val="none"/>
                <w:u w:val="none"/>
                <w:lang w:val="en-US" w:eastAsia="zh-CN" w:bidi="ar"/>
              </w:rPr>
            </w:pPr>
          </w:p>
        </w:tc>
      </w:tr>
      <w:tr>
        <w:tblPrEx>
          <w:tblCellMar>
            <w:top w:w="0" w:type="dxa"/>
            <w:left w:w="108" w:type="dxa"/>
            <w:bottom w:w="0" w:type="dxa"/>
            <w:right w:w="108" w:type="dxa"/>
          </w:tblCellMar>
        </w:tblPrEx>
        <w:trPr>
          <w:trHeight w:val="386" w:hRule="atLeast"/>
        </w:trPr>
        <w:tc>
          <w:tcPr>
            <w:tcW w:w="618" w:type="dxa"/>
            <w:tcBorders>
              <w:top w:val="nil"/>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cs="Times New Roman"/>
                <w:color w:val="auto"/>
                <w:kern w:val="0"/>
                <w:sz w:val="20"/>
                <w:szCs w:val="20"/>
                <w:highlight w:val="none"/>
              </w:rPr>
            </w:pPr>
          </w:p>
        </w:tc>
        <w:tc>
          <w:tcPr>
            <w:tcW w:w="484" w:type="dxa"/>
            <w:tcBorders>
              <w:top w:val="nil"/>
              <w:left w:val="nil"/>
              <w:bottom w:val="single" w:color="auto" w:sz="4" w:space="0"/>
              <w:right w:val="single" w:color="auto" w:sz="4" w:space="0"/>
            </w:tcBorders>
            <w:noWrap w:val="0"/>
            <w:vAlign w:val="center"/>
          </w:tcPr>
          <w:p>
            <w:pPr>
              <w:widowControl/>
              <w:jc w:val="left"/>
              <w:rPr>
                <w:rFonts w:hint="default" w:ascii="Times New Roman" w:hAnsi="Times New Roman" w:cs="Times New Roman"/>
                <w:color w:val="auto"/>
                <w:kern w:val="0"/>
                <w:sz w:val="20"/>
                <w:szCs w:val="20"/>
                <w:highlight w:val="none"/>
              </w:rPr>
            </w:pPr>
          </w:p>
        </w:tc>
        <w:tc>
          <w:tcPr>
            <w:tcW w:w="3315" w:type="dxa"/>
            <w:tcBorders>
              <w:top w:val="nil"/>
              <w:left w:val="nil"/>
              <w:bottom w:val="single" w:color="auto" w:sz="4" w:space="0"/>
              <w:right w:val="single" w:color="auto" w:sz="4" w:space="0"/>
            </w:tcBorders>
            <w:noWrap w:val="0"/>
            <w:vAlign w:val="center"/>
          </w:tcPr>
          <w:p>
            <w:pPr>
              <w:widowControl/>
              <w:jc w:val="center"/>
              <w:rPr>
                <w:rFonts w:hint="default" w:ascii="Times New Roman" w:hAnsi="Times New Roman" w:cs="Times New Roman"/>
                <w:color w:val="auto"/>
                <w:kern w:val="0"/>
                <w:sz w:val="20"/>
                <w:szCs w:val="20"/>
                <w:highlight w:val="none"/>
              </w:rPr>
            </w:pPr>
            <w:r>
              <w:rPr>
                <w:rFonts w:hint="default" w:ascii="Times New Roman" w:hAnsi="Times New Roman" w:eastAsia="仿宋_GB2312" w:cs="Times New Roman"/>
                <w:b/>
                <w:bCs/>
                <w:color w:val="auto"/>
                <w:kern w:val="0"/>
                <w:sz w:val="20"/>
                <w:szCs w:val="20"/>
                <w:highlight w:val="none"/>
                <w:lang w:val="en-US" w:eastAsia="zh-CN"/>
              </w:rPr>
              <w:t>总</w:t>
            </w:r>
            <w:r>
              <w:rPr>
                <w:rFonts w:hint="default" w:ascii="Times New Roman" w:hAnsi="Times New Roman" w:eastAsia="仿宋_GB2312" w:cs="Times New Roman"/>
                <w:b/>
                <w:bCs/>
                <w:color w:val="auto"/>
                <w:kern w:val="0"/>
                <w:sz w:val="20"/>
                <w:szCs w:val="20"/>
                <w:highlight w:val="none"/>
              </w:rPr>
              <w:t xml:space="preserve">  计</w:t>
            </w:r>
          </w:p>
        </w:tc>
        <w:tc>
          <w:tcPr>
            <w:tcW w:w="1431"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bCs w:val="0"/>
                <w:color w:val="auto"/>
                <w:kern w:val="0"/>
                <w:sz w:val="22"/>
                <w:szCs w:val="22"/>
                <w:highlight w:val="none"/>
                <w:lang w:val="en-US" w:eastAsia="zh-CN"/>
              </w:rPr>
            </w:pPr>
            <w:r>
              <w:rPr>
                <w:rFonts w:hint="default" w:ascii="Times New Roman Regular" w:hAnsi="Times New Roman Regular" w:cs="Times New Roman Regular"/>
                <w:b w:val="0"/>
                <w:bCs w:val="0"/>
                <w:color w:val="auto"/>
                <w:kern w:val="0"/>
                <w:sz w:val="22"/>
                <w:szCs w:val="22"/>
                <w:highlight w:val="none"/>
                <w:lang w:val="en-US" w:eastAsia="zh-CN"/>
              </w:rPr>
              <w:t>3634.55</w:t>
            </w:r>
          </w:p>
        </w:tc>
        <w:tc>
          <w:tcPr>
            <w:tcW w:w="1861"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eastAsia="宋体" w:cs="Times New Roman Regular"/>
                <w:b w:val="0"/>
                <w:bCs w:val="0"/>
                <w:color w:val="auto"/>
                <w:kern w:val="0"/>
                <w:sz w:val="22"/>
                <w:szCs w:val="22"/>
                <w:highlight w:val="none"/>
                <w:lang w:val="en-US" w:eastAsia="zh-CN"/>
              </w:rPr>
            </w:pPr>
            <w:r>
              <w:rPr>
                <w:rFonts w:hint="default" w:ascii="Times New Roman Regular" w:hAnsi="Times New Roman Regular" w:cs="Times New Roman Regular"/>
                <w:b w:val="0"/>
                <w:bCs w:val="0"/>
                <w:color w:val="auto"/>
                <w:kern w:val="0"/>
                <w:sz w:val="22"/>
                <w:szCs w:val="22"/>
                <w:highlight w:val="none"/>
                <w:lang w:val="en-US" w:eastAsia="zh-CN"/>
              </w:rPr>
              <w:t>3409.17</w:t>
            </w:r>
          </w:p>
        </w:tc>
        <w:tc>
          <w:tcPr>
            <w:tcW w:w="1619" w:type="dxa"/>
            <w:tcBorders>
              <w:top w:val="nil"/>
              <w:left w:val="nil"/>
              <w:bottom w:val="single" w:color="auto" w:sz="4" w:space="0"/>
              <w:right w:val="single" w:color="auto" w:sz="4" w:space="0"/>
            </w:tcBorders>
            <w:noWrap w:val="0"/>
            <w:vAlign w:val="center"/>
          </w:tcPr>
          <w:p>
            <w:pPr>
              <w:widowControl/>
              <w:jc w:val="center"/>
              <w:rPr>
                <w:rFonts w:hint="default" w:ascii="Times New Roman Regular" w:hAnsi="Times New Roman Regular" w:cs="Times New Roman Regular"/>
                <w:b w:val="0"/>
                <w:bCs w:val="0"/>
                <w:color w:val="auto"/>
                <w:kern w:val="0"/>
                <w:sz w:val="22"/>
                <w:szCs w:val="22"/>
                <w:highlight w:val="none"/>
              </w:rPr>
            </w:pPr>
            <w:r>
              <w:rPr>
                <w:rFonts w:hint="default" w:ascii="Times New Roman Regular" w:hAnsi="Times New Roman Regular" w:eastAsia="宋体" w:cs="Times New Roman Regular"/>
                <w:b w:val="0"/>
                <w:bCs w:val="0"/>
                <w:color w:val="auto"/>
                <w:kern w:val="0"/>
                <w:sz w:val="22"/>
                <w:szCs w:val="22"/>
                <w:highlight w:val="none"/>
                <w:lang w:val="en-US" w:eastAsia="zh-CN"/>
              </w:rPr>
              <w:t>225.38</w:t>
            </w:r>
          </w:p>
        </w:tc>
      </w:tr>
    </w:tbl>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表7</w:t>
      </w:r>
    </w:p>
    <w:tbl>
      <w:tblPr>
        <w:tblStyle w:val="6"/>
        <w:tblW w:w="9614" w:type="dxa"/>
        <w:tblInd w:w="-434" w:type="dxa"/>
        <w:tblLayout w:type="fixed"/>
        <w:tblCellMar>
          <w:top w:w="0" w:type="dxa"/>
          <w:left w:w="108" w:type="dxa"/>
          <w:bottom w:w="0" w:type="dxa"/>
          <w:right w:w="108" w:type="dxa"/>
        </w:tblCellMar>
      </w:tblPr>
      <w:tblGrid>
        <w:gridCol w:w="556"/>
        <w:gridCol w:w="447"/>
        <w:gridCol w:w="447"/>
        <w:gridCol w:w="714"/>
        <w:gridCol w:w="1040"/>
        <w:gridCol w:w="858"/>
        <w:gridCol w:w="482"/>
        <w:gridCol w:w="800"/>
        <w:gridCol w:w="765"/>
        <w:gridCol w:w="455"/>
        <w:gridCol w:w="278"/>
        <w:gridCol w:w="267"/>
        <w:gridCol w:w="819"/>
        <w:gridCol w:w="528"/>
        <w:gridCol w:w="382"/>
        <w:gridCol w:w="382"/>
        <w:gridCol w:w="330"/>
        <w:gridCol w:w="64"/>
      </w:tblGrid>
      <w:tr>
        <w:tblPrEx>
          <w:tblCellMar>
            <w:top w:w="0" w:type="dxa"/>
            <w:left w:w="108" w:type="dxa"/>
            <w:bottom w:w="0" w:type="dxa"/>
            <w:right w:w="108" w:type="dxa"/>
          </w:tblCellMar>
        </w:tblPrEx>
        <w:trPr>
          <w:gridAfter w:val="1"/>
          <w:wAfter w:w="64" w:type="dxa"/>
          <w:trHeight w:val="375" w:hRule="atLeast"/>
        </w:trPr>
        <w:tc>
          <w:tcPr>
            <w:tcW w:w="9550" w:type="dxa"/>
            <w:gridSpan w:val="17"/>
            <w:tcBorders>
              <w:top w:val="nil"/>
              <w:left w:val="nil"/>
              <w:bottom w:val="nil"/>
              <w:right w:val="nil"/>
            </w:tcBorders>
            <w:noWrap w:val="0"/>
            <w:vAlign w:val="center"/>
          </w:tcPr>
          <w:p>
            <w:pPr>
              <w:widowControl/>
              <w:jc w:val="center"/>
              <w:rPr>
                <w:rFonts w:hint="default" w:ascii="Times New Roman" w:hAnsi="Times New Roman" w:eastAsia="方正小标宋_GBK" w:cs="Times New Roman"/>
                <w:b w:val="0"/>
                <w:bCs w:val="0"/>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一般公共预算项目支出情况表</w:t>
            </w:r>
          </w:p>
        </w:tc>
      </w:tr>
      <w:tr>
        <w:tblPrEx>
          <w:tblCellMar>
            <w:top w:w="0" w:type="dxa"/>
            <w:left w:w="108" w:type="dxa"/>
            <w:bottom w:w="0" w:type="dxa"/>
            <w:right w:w="108" w:type="dxa"/>
          </w:tblCellMar>
        </w:tblPrEx>
        <w:trPr>
          <w:gridAfter w:val="1"/>
          <w:wAfter w:w="64" w:type="dxa"/>
          <w:trHeight w:val="405" w:hRule="atLeast"/>
        </w:trPr>
        <w:tc>
          <w:tcPr>
            <w:tcW w:w="4062" w:type="dxa"/>
            <w:gridSpan w:val="6"/>
            <w:tcBorders>
              <w:top w:val="nil"/>
              <w:left w:val="nil"/>
              <w:bottom w:val="nil"/>
              <w:right w:val="nil"/>
            </w:tcBorders>
            <w:noWrap w:val="0"/>
            <w:vAlign w:val="center"/>
          </w:tcPr>
          <w:p>
            <w:pPr>
              <w:widowControl/>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p>
        </w:tc>
        <w:tc>
          <w:tcPr>
            <w:tcW w:w="1282" w:type="dxa"/>
            <w:gridSpan w:val="2"/>
            <w:tcBorders>
              <w:top w:val="nil"/>
              <w:left w:val="nil"/>
              <w:bottom w:val="nil"/>
              <w:right w:val="nil"/>
            </w:tcBorders>
            <w:noWrap w:val="0"/>
            <w:vAlign w:val="center"/>
          </w:tcPr>
          <w:p>
            <w:pPr>
              <w:widowControl/>
              <w:jc w:val="left"/>
              <w:rPr>
                <w:rFonts w:hint="default" w:ascii="Times New Roman" w:hAnsi="Times New Roman" w:eastAsia="仿宋_GB2312" w:cs="Times New Roman"/>
                <w:color w:val="auto"/>
                <w:kern w:val="0"/>
                <w:sz w:val="24"/>
                <w:highlight w:val="none"/>
              </w:rPr>
            </w:pPr>
          </w:p>
        </w:tc>
        <w:tc>
          <w:tcPr>
            <w:tcW w:w="1498" w:type="dxa"/>
            <w:gridSpan w:val="3"/>
            <w:tcBorders>
              <w:top w:val="nil"/>
              <w:left w:val="nil"/>
              <w:bottom w:val="nil"/>
              <w:right w:val="nil"/>
            </w:tcBorders>
            <w:noWrap w:val="0"/>
            <w:vAlign w:val="center"/>
          </w:tcPr>
          <w:p>
            <w:pPr>
              <w:widowControl/>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xml:space="preserve">      </w:t>
            </w:r>
          </w:p>
        </w:tc>
        <w:tc>
          <w:tcPr>
            <w:tcW w:w="2708" w:type="dxa"/>
            <w:gridSpan w:val="6"/>
            <w:tcBorders>
              <w:top w:val="nil"/>
              <w:left w:val="nil"/>
              <w:bottom w:val="nil"/>
              <w:right w:val="nil"/>
            </w:tcBorders>
            <w:noWrap w:val="0"/>
            <w:vAlign w:val="center"/>
          </w:tcPr>
          <w:p>
            <w:pPr>
              <w:widowControl/>
              <w:ind w:firstLine="960" w:firstLineChars="400"/>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50" w:type="dxa"/>
            <w:gridSpan w:val="3"/>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 xml:space="preserve">科 目 </w:t>
            </w:r>
            <w:r>
              <w:rPr>
                <w:rFonts w:hint="default" w:ascii="Times New Roman" w:hAnsi="Times New Roman" w:eastAsia="仿宋_GB2312" w:cs="Times New Roman"/>
                <w:b/>
                <w:color w:val="auto"/>
                <w:kern w:val="0"/>
                <w:sz w:val="20"/>
                <w:szCs w:val="20"/>
                <w:highlight w:val="none"/>
                <w:lang w:val="en-US" w:eastAsia="zh-CN"/>
              </w:rPr>
              <w:t>代</w:t>
            </w:r>
            <w:r>
              <w:rPr>
                <w:rFonts w:hint="default" w:ascii="Times New Roman" w:hAnsi="Times New Roman" w:eastAsia="仿宋_GB2312" w:cs="Times New Roman"/>
                <w:b/>
                <w:color w:val="auto"/>
                <w:kern w:val="0"/>
                <w:sz w:val="20"/>
                <w:szCs w:val="20"/>
                <w:highlight w:val="none"/>
              </w:rPr>
              <w:t xml:space="preserve"> 码</w:t>
            </w:r>
          </w:p>
        </w:tc>
        <w:tc>
          <w:tcPr>
            <w:tcW w:w="714"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lang w:eastAsia="zh-CN"/>
              </w:rPr>
            </w:pPr>
            <w:r>
              <w:rPr>
                <w:rFonts w:hint="default" w:ascii="Times New Roman" w:hAnsi="Times New Roman" w:eastAsia="仿宋_GB2312" w:cs="Times New Roman"/>
                <w:b/>
                <w:color w:val="auto"/>
                <w:kern w:val="0"/>
                <w:sz w:val="20"/>
                <w:szCs w:val="20"/>
                <w:highlight w:val="none"/>
              </w:rPr>
              <w:t>科目</w:t>
            </w:r>
            <w:r>
              <w:rPr>
                <w:rFonts w:hint="default" w:ascii="Times New Roman" w:hAnsi="Times New Roman" w:eastAsia="仿宋_GB2312" w:cs="Times New Roman"/>
                <w:b/>
                <w:color w:val="auto"/>
                <w:kern w:val="0"/>
                <w:sz w:val="20"/>
                <w:szCs w:val="20"/>
                <w:highlight w:val="none"/>
                <w:lang w:eastAsia="zh-CN"/>
              </w:rPr>
              <w:t>名称</w:t>
            </w:r>
          </w:p>
        </w:tc>
        <w:tc>
          <w:tcPr>
            <w:tcW w:w="1040" w:type="dxa"/>
            <w:vMerge w:val="restart"/>
            <w:noWrap w:val="0"/>
            <w:vAlign w:val="center"/>
          </w:tcPr>
          <w:p>
            <w:pPr>
              <w:jc w:val="center"/>
              <w:rPr>
                <w:rFonts w:hint="default" w:ascii="Times New Roman" w:hAnsi="Times New Roman" w:cs="Times New Roman"/>
                <w:color w:val="auto"/>
                <w:sz w:val="20"/>
                <w:szCs w:val="20"/>
                <w:highlight w:val="none"/>
              </w:rPr>
            </w:pPr>
            <w:r>
              <w:rPr>
                <w:rFonts w:hint="default" w:ascii="Times New Roman" w:hAnsi="Times New Roman" w:eastAsia="仿宋_GB2312" w:cs="Times New Roman"/>
                <w:b/>
                <w:color w:val="auto"/>
                <w:kern w:val="0"/>
                <w:sz w:val="20"/>
                <w:szCs w:val="20"/>
                <w:highlight w:val="none"/>
              </w:rPr>
              <w:t>项目名称</w:t>
            </w:r>
          </w:p>
        </w:tc>
        <w:tc>
          <w:tcPr>
            <w:tcW w:w="858"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项目支出合计</w:t>
            </w:r>
          </w:p>
        </w:tc>
        <w:tc>
          <w:tcPr>
            <w:tcW w:w="482"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工资福利支出</w:t>
            </w:r>
          </w:p>
        </w:tc>
        <w:tc>
          <w:tcPr>
            <w:tcW w:w="800"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商品和服务支出</w:t>
            </w:r>
          </w:p>
        </w:tc>
        <w:tc>
          <w:tcPr>
            <w:tcW w:w="765"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对个人和家庭的补助</w:t>
            </w:r>
          </w:p>
        </w:tc>
        <w:tc>
          <w:tcPr>
            <w:tcW w:w="455"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债务利息及费用支出</w:t>
            </w:r>
          </w:p>
        </w:tc>
        <w:tc>
          <w:tcPr>
            <w:tcW w:w="545" w:type="dxa"/>
            <w:gridSpan w:val="2"/>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资本性支出（基本建设）</w:t>
            </w:r>
          </w:p>
        </w:tc>
        <w:tc>
          <w:tcPr>
            <w:tcW w:w="819"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资本性支出</w:t>
            </w:r>
          </w:p>
        </w:tc>
        <w:tc>
          <w:tcPr>
            <w:tcW w:w="528"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对企业补助（基本建设）</w:t>
            </w:r>
          </w:p>
        </w:tc>
        <w:tc>
          <w:tcPr>
            <w:tcW w:w="382"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对企业补助</w:t>
            </w:r>
          </w:p>
        </w:tc>
        <w:tc>
          <w:tcPr>
            <w:tcW w:w="382" w:type="dxa"/>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对社会保障基金补助</w:t>
            </w:r>
          </w:p>
        </w:tc>
        <w:tc>
          <w:tcPr>
            <w:tcW w:w="394" w:type="dxa"/>
            <w:gridSpan w:val="2"/>
            <w:vMerge w:val="restart"/>
            <w:noWrap w:val="0"/>
            <w:vAlign w:val="center"/>
          </w:tcPr>
          <w:p>
            <w:pPr>
              <w:widowControl/>
              <w:jc w:val="center"/>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6" w:type="dxa"/>
            <w:tcBorders>
              <w:bottom w:val="single" w:color="auto" w:sz="4" w:space="0"/>
            </w:tcBorders>
            <w:noWrap w:val="0"/>
            <w:vAlign w:val="center"/>
          </w:tcPr>
          <w:p>
            <w:pPr>
              <w:widowControl/>
              <w:jc w:val="left"/>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类</w:t>
            </w:r>
          </w:p>
        </w:tc>
        <w:tc>
          <w:tcPr>
            <w:tcW w:w="447" w:type="dxa"/>
            <w:tcBorders>
              <w:bottom w:val="single" w:color="auto" w:sz="4" w:space="0"/>
            </w:tcBorders>
            <w:noWrap w:val="0"/>
            <w:vAlign w:val="center"/>
          </w:tcPr>
          <w:p>
            <w:pPr>
              <w:widowControl/>
              <w:jc w:val="left"/>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款</w:t>
            </w:r>
          </w:p>
        </w:tc>
        <w:tc>
          <w:tcPr>
            <w:tcW w:w="447" w:type="dxa"/>
            <w:tcBorders>
              <w:bottom w:val="single" w:color="auto" w:sz="4" w:space="0"/>
            </w:tcBorders>
            <w:noWrap w:val="0"/>
            <w:vAlign w:val="center"/>
          </w:tcPr>
          <w:p>
            <w:pPr>
              <w:widowControl/>
              <w:jc w:val="left"/>
              <w:outlineLvl w:val="1"/>
              <w:rPr>
                <w:rFonts w:hint="default" w:ascii="Times New Roman" w:hAnsi="Times New Roman" w:eastAsia="仿宋_GB2312" w:cs="Times New Roman"/>
                <w:b/>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项</w:t>
            </w:r>
          </w:p>
        </w:tc>
        <w:tc>
          <w:tcPr>
            <w:tcW w:w="714" w:type="dxa"/>
            <w:vMerge w:val="continue"/>
            <w:tcBorders>
              <w:bottom w:val="single" w:color="auto" w:sz="4" w:space="0"/>
            </w:tcBorders>
            <w:noWrap w:val="0"/>
            <w:vAlign w:val="center"/>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1040"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858"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482"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800"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765"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455"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545" w:type="dxa"/>
            <w:gridSpan w:val="2"/>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819"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528"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382"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382" w:type="dxa"/>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c>
          <w:tcPr>
            <w:tcW w:w="394" w:type="dxa"/>
            <w:gridSpan w:val="2"/>
            <w:vMerge w:val="continue"/>
            <w:tcBorders>
              <w:bottom w:val="single" w:color="auto" w:sz="4" w:space="0"/>
            </w:tcBorders>
            <w:noWrap w:val="0"/>
            <w:vAlign w:val="top"/>
          </w:tcPr>
          <w:p>
            <w:pPr>
              <w:widowControl/>
              <w:jc w:val="left"/>
              <w:outlineLvl w:val="1"/>
              <w:rPr>
                <w:rFonts w:hint="default" w:ascii="Times New Roman" w:hAnsi="Times New Roman" w:eastAsia="仿宋_GB2312" w:cs="Times New Roman"/>
                <w:b/>
                <w:color w:val="auto"/>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b/>
                <w:bCs/>
                <w:i w:val="0"/>
                <w:color w:val="auto"/>
                <w:kern w:val="2"/>
                <w:sz w:val="20"/>
                <w:szCs w:val="20"/>
                <w:highlight w:val="none"/>
                <w:u w:val="none"/>
                <w:lang w:val="en-US" w:eastAsia="zh-CN" w:bidi="ar"/>
              </w:rPr>
              <w:t>205</w:t>
            </w:r>
          </w:p>
        </w:tc>
        <w:tc>
          <w:tcPr>
            <w:tcW w:w="447" w:type="dxa"/>
            <w:noWrap w:val="0"/>
            <w:vAlign w:val="center"/>
          </w:tcPr>
          <w:p>
            <w:pPr>
              <w:widowControl/>
              <w:jc w:val="center"/>
              <w:rPr>
                <w:rFonts w:hint="default" w:ascii="Times New Roman" w:hAnsi="Times New Roman" w:eastAsia="仿宋_GB2312" w:cs="Times New Roman"/>
                <w:color w:val="auto"/>
                <w:kern w:val="0"/>
                <w:sz w:val="40"/>
                <w:szCs w:val="40"/>
                <w:highlight w:val="none"/>
                <w:lang w:eastAsia="zh-Hans"/>
              </w:rPr>
            </w:pPr>
          </w:p>
        </w:tc>
        <w:tc>
          <w:tcPr>
            <w:tcW w:w="447" w:type="dxa"/>
            <w:noWrap w:val="0"/>
            <w:vAlign w:val="center"/>
          </w:tcPr>
          <w:p>
            <w:pPr>
              <w:widowControl/>
              <w:jc w:val="center"/>
              <w:rPr>
                <w:rFonts w:hint="default" w:ascii="Times New Roman" w:hAnsi="Times New Roman" w:eastAsia="仿宋_GB2312" w:cs="Times New Roman"/>
                <w:color w:val="auto"/>
                <w:kern w:val="0"/>
                <w:sz w:val="40"/>
                <w:szCs w:val="40"/>
                <w:highlight w:val="none"/>
              </w:rPr>
            </w:pP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b/>
                <w:bCs/>
                <w:i w:val="0"/>
                <w:color w:val="auto"/>
                <w:kern w:val="2"/>
                <w:sz w:val="20"/>
                <w:szCs w:val="20"/>
                <w:highlight w:val="none"/>
                <w:u w:val="none"/>
                <w:lang w:val="en-US" w:eastAsia="zh-CN" w:bidi="ar"/>
              </w:rPr>
              <w:t>教育支出</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18"/>
                <w:szCs w:val="18"/>
                <w:highlight w:val="none"/>
              </w:rPr>
            </w:pPr>
          </w:p>
        </w:tc>
        <w:tc>
          <w:tcPr>
            <w:tcW w:w="858"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535.81</w:t>
            </w:r>
          </w:p>
        </w:tc>
        <w:tc>
          <w:tcPr>
            <w:tcW w:w="482"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p>
        </w:tc>
        <w:tc>
          <w:tcPr>
            <w:tcW w:w="800"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321.13</w:t>
            </w:r>
          </w:p>
        </w:tc>
        <w:tc>
          <w:tcPr>
            <w:tcW w:w="765"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18.55</w:t>
            </w:r>
          </w:p>
        </w:tc>
        <w:tc>
          <w:tcPr>
            <w:tcW w:w="455"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p>
        </w:tc>
        <w:tc>
          <w:tcPr>
            <w:tcW w:w="545" w:type="dxa"/>
            <w:gridSpan w:val="2"/>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p>
        </w:tc>
        <w:tc>
          <w:tcPr>
            <w:tcW w:w="819"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196.13</w:t>
            </w:r>
          </w:p>
        </w:tc>
        <w:tc>
          <w:tcPr>
            <w:tcW w:w="528" w:type="dxa"/>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c>
          <w:tcPr>
            <w:tcW w:w="382" w:type="dxa"/>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c>
          <w:tcPr>
            <w:tcW w:w="382" w:type="dxa"/>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c>
          <w:tcPr>
            <w:tcW w:w="394" w:type="dxa"/>
            <w:gridSpan w:val="2"/>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205</w:t>
            </w:r>
          </w:p>
        </w:tc>
        <w:tc>
          <w:tcPr>
            <w:tcW w:w="447"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447"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普通教育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18"/>
                <w:szCs w:val="18"/>
                <w:highlight w:val="none"/>
              </w:rPr>
            </w:pPr>
          </w:p>
        </w:tc>
        <w:tc>
          <w:tcPr>
            <w:tcW w:w="858"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529.19</w:t>
            </w:r>
          </w:p>
        </w:tc>
        <w:tc>
          <w:tcPr>
            <w:tcW w:w="482"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p>
        </w:tc>
        <w:tc>
          <w:tcPr>
            <w:tcW w:w="800"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lang w:val="en-US" w:eastAsia="zh-CN"/>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314.51</w:t>
            </w:r>
          </w:p>
        </w:tc>
        <w:tc>
          <w:tcPr>
            <w:tcW w:w="765"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lang w:val="en-US" w:eastAsia="zh-CN"/>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18.55</w:t>
            </w:r>
          </w:p>
        </w:tc>
        <w:tc>
          <w:tcPr>
            <w:tcW w:w="455"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p>
        </w:tc>
        <w:tc>
          <w:tcPr>
            <w:tcW w:w="545" w:type="dxa"/>
            <w:gridSpan w:val="2"/>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p>
        </w:tc>
        <w:tc>
          <w:tcPr>
            <w:tcW w:w="819"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8"/>
                <w:szCs w:val="18"/>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196.13</w:t>
            </w:r>
          </w:p>
        </w:tc>
        <w:tc>
          <w:tcPr>
            <w:tcW w:w="528" w:type="dxa"/>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c>
          <w:tcPr>
            <w:tcW w:w="382" w:type="dxa"/>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c>
          <w:tcPr>
            <w:tcW w:w="382" w:type="dxa"/>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c>
          <w:tcPr>
            <w:tcW w:w="394" w:type="dxa"/>
            <w:gridSpan w:val="2"/>
            <w:noWrap w:val="0"/>
            <w:vAlign w:val="top"/>
          </w:tcPr>
          <w:p>
            <w:pPr>
              <w:widowControl/>
              <w:jc w:val="both"/>
              <w:outlineLvl w:val="1"/>
              <w:rPr>
                <w:rFonts w:hint="default" w:ascii="Times New Roman" w:hAnsi="Times New Roman" w:eastAsia="仿宋_GB2312" w:cs="Times New Roman"/>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205</w:t>
            </w:r>
          </w:p>
        </w:tc>
        <w:tc>
          <w:tcPr>
            <w:tcW w:w="447"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447"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小学教育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i w:val="0"/>
                <w:color w:val="auto"/>
                <w:kern w:val="2"/>
                <w:sz w:val="20"/>
                <w:szCs w:val="20"/>
                <w:highlight w:val="none"/>
                <w:u w:val="none"/>
                <w:lang w:val="en-US" w:eastAsia="zh-CN" w:bidi="ar"/>
              </w:rPr>
              <w:t>本级优均创建设施设备购置更新</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17.11</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17.11</w:t>
            </w: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小学教育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rPr>
              <w:t>本级聘用人员伙食费</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16.47</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16.47</w:t>
            </w: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小学教育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rPr>
              <w:t>本级保基本民生家庭困难学生补助</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0.83</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0.83</w:t>
            </w: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widowControl/>
              <w:jc w:val="center"/>
              <w:outlineLvl w:val="9"/>
              <w:rPr>
                <w:rFonts w:hint="eastAsia" w:ascii="仿宋_GB2312" w:hAnsi="Times New Roman" w:eastAsia="仿宋_GB2312"/>
                <w:color w:val="auto"/>
                <w:kern w:val="2"/>
                <w:sz w:val="20"/>
                <w:szCs w:val="20"/>
                <w:highlight w:val="none"/>
                <w:u w:val="none"/>
                <w:lang w:val="en-US" w:eastAsia="zh-CN" w:bidi="ar"/>
              </w:rPr>
            </w:pPr>
            <w:r>
              <w:rPr>
                <w:rFonts w:hint="eastAsia" w:ascii="仿宋_GB2312" w:hAnsi="Times New Roman" w:eastAsia="仿宋_GB2312" w:cs="Times New Roman"/>
                <w:i w:val="0"/>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eastAsia" w:ascii="仿宋_GB2312" w:eastAsia="仿宋_GB2312"/>
                <w:color w:val="auto"/>
                <w:kern w:val="2"/>
                <w:sz w:val="20"/>
                <w:szCs w:val="20"/>
                <w:highlight w:val="none"/>
                <w:u w:val="none"/>
                <w:lang w:val="en-US" w:eastAsia="zh-CN" w:bidi="ar"/>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eastAsia" w:ascii="仿宋_GB2312" w:eastAsia="仿宋_GB2312"/>
                <w:color w:val="auto"/>
                <w:kern w:val="2"/>
                <w:sz w:val="20"/>
                <w:szCs w:val="20"/>
                <w:highlight w:val="none"/>
                <w:u w:val="none"/>
                <w:lang w:val="en-US" w:eastAsia="zh-CN" w:bidi="ar"/>
              </w:rPr>
            </w:pPr>
            <w:r>
              <w:rPr>
                <w:rFonts w:hint="eastAsia" w:ascii="仿宋_GB2312" w:hAnsi="Times New Roman" w:eastAsia="仿宋_GB2312" w:cs="Times New Roman"/>
                <w:i w:val="0"/>
                <w:color w:val="auto"/>
                <w:kern w:val="2"/>
                <w:sz w:val="20"/>
                <w:szCs w:val="20"/>
                <w:highlight w:val="none"/>
                <w:u w:val="none"/>
                <w:lang w:val="en-US" w:eastAsia="zh-CN" w:bidi="ar"/>
              </w:rPr>
              <w:t>02</w:t>
            </w:r>
          </w:p>
        </w:tc>
        <w:tc>
          <w:tcPr>
            <w:tcW w:w="714" w:type="dxa"/>
            <w:noWrap w:val="0"/>
            <w:vAlign w:val="center"/>
          </w:tcPr>
          <w:p>
            <w:pPr>
              <w:keepNext w:val="0"/>
              <w:keepLines w:val="0"/>
              <w:widowControl/>
              <w:suppressLineNumbers w:val="0"/>
              <w:jc w:val="center"/>
              <w:textAlignment w:val="auto"/>
              <w:rPr>
                <w:rFonts w:hint="eastAsia" w:ascii="仿宋_GB2312" w:hAnsi="Times New Roman" w:eastAsia="仿宋_GB2312" w:cs="Times New Roman"/>
                <w:i w:val="0"/>
                <w:color w:val="auto"/>
                <w:kern w:val="2"/>
                <w:sz w:val="20"/>
                <w:szCs w:val="20"/>
                <w:highlight w:val="none"/>
                <w:u w:val="none"/>
                <w:lang w:val="en-US" w:eastAsia="zh-CN" w:bidi="ar"/>
              </w:rPr>
            </w:pPr>
            <w:r>
              <w:rPr>
                <w:rFonts w:hint="eastAsia" w:ascii="仿宋_GB2312" w:hAnsi="Times New Roman" w:eastAsia="仿宋_GB2312" w:cs="Times New Roman"/>
                <w:i w:val="0"/>
                <w:color w:val="auto"/>
                <w:kern w:val="2"/>
                <w:sz w:val="20"/>
                <w:szCs w:val="20"/>
                <w:highlight w:val="none"/>
                <w:u w:val="none"/>
                <w:lang w:val="en-US" w:eastAsia="zh-CN" w:bidi="ar"/>
              </w:rPr>
              <w:t>小学教育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rPr>
              <w:t>2026年城乡义务教育补助经费</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135.30</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117.46</w:t>
            </w: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7.00</w:t>
            </w: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10.84</w:t>
            </w: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r>
              <w:rPr>
                <w:rFonts w:hint="eastAsia" w:ascii="仿宋_GB2312" w:hAnsi="Times New Roman" w:eastAsia="仿宋_GB2312"/>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eastAsia" w:ascii="仿宋_GB2312" w:eastAsia="仿宋_GB2312"/>
                <w:color w:val="auto"/>
                <w:kern w:val="2"/>
                <w:sz w:val="20"/>
                <w:szCs w:val="20"/>
                <w:highlight w:val="none"/>
                <w:u w:val="none"/>
                <w:lang w:val="en-US" w:eastAsia="zh-CN" w:bidi="ar"/>
              </w:rPr>
            </w:pPr>
            <w:r>
              <w:rPr>
                <w:rFonts w:hint="eastAsia" w:ascii="仿宋_GB2312" w:eastAsia="仿宋_GB2312"/>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eastAsia" w:ascii="仿宋_GB2312" w:eastAsia="仿宋_GB2312"/>
                <w:color w:val="auto"/>
                <w:kern w:val="2"/>
                <w:sz w:val="20"/>
                <w:szCs w:val="20"/>
                <w:highlight w:val="none"/>
                <w:u w:val="none"/>
                <w:lang w:val="en-US" w:eastAsia="zh-CN" w:bidi="ar"/>
              </w:rPr>
            </w:pPr>
            <w:r>
              <w:rPr>
                <w:rFonts w:hint="eastAsia" w:ascii="仿宋_GB2312" w:eastAsia="仿宋_GB2312"/>
                <w:color w:val="auto"/>
                <w:kern w:val="2"/>
                <w:sz w:val="20"/>
                <w:szCs w:val="20"/>
                <w:highlight w:val="none"/>
                <w:u w:val="none"/>
                <w:lang w:val="en-US" w:eastAsia="zh-CN" w:bidi="ar"/>
              </w:rPr>
              <w:t>03</w:t>
            </w:r>
          </w:p>
        </w:tc>
        <w:tc>
          <w:tcPr>
            <w:tcW w:w="714" w:type="dxa"/>
            <w:noWrap w:val="0"/>
            <w:vAlign w:val="center"/>
          </w:tcPr>
          <w:p>
            <w:pPr>
              <w:keepNext w:val="0"/>
              <w:keepLines w:val="0"/>
              <w:widowControl/>
              <w:suppressLineNumbers w:val="0"/>
              <w:jc w:val="center"/>
              <w:textAlignment w:val="auto"/>
              <w:rPr>
                <w:rFonts w:hint="eastAsia" w:ascii="仿宋_GB2312" w:hAnsi="Times New Roman" w:eastAsia="仿宋_GB2312" w:cs="Times New Roman"/>
                <w:i w:val="0"/>
                <w:color w:val="auto"/>
                <w:kern w:val="2"/>
                <w:sz w:val="20"/>
                <w:szCs w:val="20"/>
                <w:highlight w:val="none"/>
                <w:u w:val="none"/>
                <w:lang w:val="en-US" w:eastAsia="zh-CN" w:bidi="ar"/>
              </w:rPr>
            </w:pPr>
            <w:r>
              <w:rPr>
                <w:rFonts w:hint="eastAsia" w:ascii="仿宋_GB2312" w:hAnsi="Times New Roman" w:eastAsia="仿宋_GB2312" w:cs="Times New Roman"/>
                <w:i w:val="0"/>
                <w:color w:val="auto"/>
                <w:kern w:val="2"/>
                <w:sz w:val="20"/>
                <w:szCs w:val="20"/>
                <w:highlight w:val="none"/>
                <w:u w:val="none"/>
                <w:lang w:val="en-US" w:eastAsia="zh-CN" w:bidi="ar"/>
              </w:rPr>
              <w:t>初中教育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rPr>
              <w:t>2026年城乡义务教育补助经费</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rPr>
            </w:pPr>
            <w:r>
              <w:rPr>
                <w:rFonts w:hint="eastAsia" w:eastAsia="仿宋_GB2312" w:cs="Times New Roman"/>
                <w:color w:val="auto"/>
                <w:kern w:val="0"/>
                <w:sz w:val="20"/>
                <w:szCs w:val="20"/>
                <w:highlight w:val="none"/>
                <w:lang w:val="en-US" w:eastAsia="zh-CN"/>
              </w:rPr>
              <w:t>89.03</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70.91</w:t>
            </w: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8.50</w:t>
            </w: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9.62</w:t>
            </w: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shd w:val="clear" w:color="auto" w:fill="auto"/>
            <w:noWrap w:val="0"/>
            <w:vAlign w:val="center"/>
          </w:tcPr>
          <w:p>
            <w:pPr>
              <w:widowControl/>
              <w:jc w:val="both"/>
              <w:outlineLvl w:val="9"/>
              <w:rPr>
                <w:rFonts w:hint="eastAsia" w:ascii="仿宋_GB2312" w:hAnsi="Times New Roman" w:eastAsia="仿宋_GB2312" w:cs="Times New Roman"/>
                <w:color w:val="auto"/>
                <w:kern w:val="2"/>
                <w:sz w:val="20"/>
                <w:szCs w:val="20"/>
                <w:highlight w:val="none"/>
                <w:u w:val="none"/>
                <w:lang w:val="en-US" w:eastAsia="zh-CN" w:bidi="ar"/>
              </w:rPr>
            </w:pPr>
            <w:r>
              <w:rPr>
                <w:rFonts w:hint="eastAsia" w:ascii="仿宋_GB2312" w:hAnsi="Times New Roman" w:eastAsia="仿宋_GB2312"/>
                <w:color w:val="auto"/>
                <w:kern w:val="2"/>
                <w:sz w:val="20"/>
                <w:szCs w:val="20"/>
                <w:highlight w:val="none"/>
                <w:u w:val="none"/>
                <w:lang w:val="en-US" w:eastAsia="zh-CN" w:bidi="ar"/>
              </w:rPr>
              <w:t>205</w:t>
            </w:r>
          </w:p>
        </w:tc>
        <w:tc>
          <w:tcPr>
            <w:tcW w:w="447" w:type="dxa"/>
            <w:shd w:val="clear" w:color="auto" w:fill="auto"/>
            <w:noWrap w:val="0"/>
            <w:vAlign w:val="center"/>
          </w:tcPr>
          <w:p>
            <w:pPr>
              <w:widowControl/>
              <w:jc w:val="center"/>
              <w:outlineLvl w:val="9"/>
              <w:rPr>
                <w:rFonts w:hint="eastAsia" w:ascii="仿宋_GB2312" w:hAnsi="Times New Roman" w:eastAsia="仿宋_GB2312" w:cs="Times New Roman"/>
                <w:color w:val="auto"/>
                <w:kern w:val="2"/>
                <w:sz w:val="20"/>
                <w:szCs w:val="20"/>
                <w:highlight w:val="none"/>
                <w:u w:val="none"/>
                <w:lang w:val="en-US" w:eastAsia="zh-CN" w:bidi="ar"/>
              </w:rPr>
            </w:pPr>
            <w:r>
              <w:rPr>
                <w:rFonts w:hint="eastAsia" w:ascii="仿宋_GB2312" w:eastAsia="仿宋_GB2312"/>
                <w:color w:val="auto"/>
                <w:kern w:val="2"/>
                <w:sz w:val="20"/>
                <w:szCs w:val="20"/>
                <w:highlight w:val="none"/>
                <w:u w:val="none"/>
                <w:lang w:val="en-US" w:eastAsia="zh-CN" w:bidi="ar"/>
              </w:rPr>
              <w:t>02</w:t>
            </w:r>
          </w:p>
        </w:tc>
        <w:tc>
          <w:tcPr>
            <w:tcW w:w="447" w:type="dxa"/>
            <w:shd w:val="clear" w:color="auto" w:fill="auto"/>
            <w:noWrap w:val="0"/>
            <w:vAlign w:val="center"/>
          </w:tcPr>
          <w:p>
            <w:pPr>
              <w:widowControl/>
              <w:jc w:val="center"/>
              <w:outlineLvl w:val="9"/>
              <w:rPr>
                <w:rFonts w:hint="eastAsia" w:ascii="仿宋_GB2312" w:hAnsi="Times New Roman" w:eastAsia="仿宋_GB2312" w:cs="Times New Roman"/>
                <w:color w:val="auto"/>
                <w:kern w:val="2"/>
                <w:sz w:val="20"/>
                <w:szCs w:val="20"/>
                <w:highlight w:val="none"/>
                <w:u w:val="none"/>
                <w:lang w:val="en-US" w:eastAsia="zh-CN" w:bidi="ar"/>
              </w:rPr>
            </w:pPr>
            <w:r>
              <w:rPr>
                <w:rFonts w:hint="eastAsia" w:ascii="仿宋_GB2312" w:eastAsia="仿宋_GB2312"/>
                <w:color w:val="auto"/>
                <w:kern w:val="2"/>
                <w:sz w:val="20"/>
                <w:szCs w:val="20"/>
                <w:highlight w:val="none"/>
                <w:u w:val="none"/>
                <w:lang w:val="en-US" w:eastAsia="zh-CN" w:bidi="ar"/>
              </w:rPr>
              <w:t>03</w:t>
            </w:r>
          </w:p>
        </w:tc>
        <w:tc>
          <w:tcPr>
            <w:tcW w:w="714" w:type="dxa"/>
            <w:shd w:val="clear" w:color="auto" w:fill="auto"/>
            <w:noWrap w:val="0"/>
            <w:vAlign w:val="center"/>
          </w:tcPr>
          <w:p>
            <w:pPr>
              <w:keepNext w:val="0"/>
              <w:keepLines w:val="0"/>
              <w:widowControl/>
              <w:suppressLineNumbers w:val="0"/>
              <w:jc w:val="center"/>
              <w:textAlignment w:val="auto"/>
              <w:rPr>
                <w:rFonts w:hint="eastAsia" w:ascii="仿宋_GB2312" w:hAnsi="Times New Roman" w:eastAsia="仿宋_GB2312" w:cs="Times New Roman"/>
                <w:i w:val="0"/>
                <w:color w:val="auto"/>
                <w:kern w:val="2"/>
                <w:sz w:val="20"/>
                <w:szCs w:val="20"/>
                <w:highlight w:val="none"/>
                <w:u w:val="none"/>
                <w:lang w:val="en-US" w:eastAsia="zh-CN" w:bidi="ar"/>
              </w:rPr>
            </w:pPr>
            <w:r>
              <w:rPr>
                <w:rFonts w:hint="eastAsia" w:ascii="仿宋_GB2312" w:hAnsi="Times New Roman" w:eastAsia="仿宋_GB2312" w:cs="Times New Roman"/>
                <w:i w:val="0"/>
                <w:color w:val="auto"/>
                <w:kern w:val="2"/>
                <w:sz w:val="20"/>
                <w:szCs w:val="20"/>
                <w:highlight w:val="none"/>
                <w:u w:val="none"/>
                <w:lang w:val="en-US" w:eastAsia="zh-CN" w:bidi="ar"/>
              </w:rPr>
              <w:t>初中教育</w:t>
            </w:r>
          </w:p>
        </w:tc>
        <w:tc>
          <w:tcPr>
            <w:tcW w:w="1040" w:type="dxa"/>
            <w:noWrap w:val="0"/>
            <w:vAlign w:val="center"/>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lang w:val="en-US" w:eastAsia="zh-CN"/>
              </w:rPr>
              <w:t>“三区”人才计划教师专项工作补助经费</w:t>
            </w:r>
          </w:p>
        </w:tc>
        <w:tc>
          <w:tcPr>
            <w:tcW w:w="858" w:type="dxa"/>
            <w:noWrap w:val="0"/>
            <w:vAlign w:val="center"/>
          </w:tcPr>
          <w:p>
            <w:pPr>
              <w:widowControl/>
              <w:jc w:val="center"/>
              <w:outlineLvl w:val="1"/>
              <w:rPr>
                <w:rFonts w:hint="default"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1.00</w:t>
            </w:r>
          </w:p>
        </w:tc>
        <w:tc>
          <w:tcPr>
            <w:tcW w:w="482" w:type="dxa"/>
            <w:noWrap w:val="0"/>
            <w:vAlign w:val="top"/>
          </w:tcPr>
          <w:p>
            <w:pPr>
              <w:widowControl/>
              <w:jc w:val="center"/>
              <w:outlineLvl w:val="1"/>
              <w:rPr>
                <w:rFonts w:hint="default" w:eastAsia="仿宋_GB2312" w:cs="Times New Roman"/>
                <w:color w:val="auto"/>
                <w:kern w:val="0"/>
                <w:sz w:val="20"/>
                <w:szCs w:val="20"/>
                <w:highlight w:val="none"/>
                <w:lang w:val="en-US" w:eastAsia="zh-CN"/>
              </w:rPr>
            </w:pPr>
          </w:p>
        </w:tc>
        <w:tc>
          <w:tcPr>
            <w:tcW w:w="800" w:type="dxa"/>
            <w:noWrap w:val="0"/>
            <w:vAlign w:val="center"/>
          </w:tcPr>
          <w:p>
            <w:pPr>
              <w:widowControl/>
              <w:jc w:val="center"/>
              <w:outlineLvl w:val="1"/>
              <w:rPr>
                <w:rFonts w:hint="default" w:eastAsia="仿宋_GB2312" w:cs="Times New Roman"/>
                <w:color w:val="auto"/>
                <w:kern w:val="0"/>
                <w:sz w:val="20"/>
                <w:szCs w:val="20"/>
                <w:highlight w:val="none"/>
                <w:lang w:val="en-US" w:eastAsia="zh-CN"/>
              </w:rPr>
            </w:pPr>
          </w:p>
        </w:tc>
        <w:tc>
          <w:tcPr>
            <w:tcW w:w="765" w:type="dxa"/>
            <w:noWrap w:val="0"/>
            <w:vAlign w:val="center"/>
          </w:tcPr>
          <w:p>
            <w:pPr>
              <w:widowControl/>
              <w:jc w:val="center"/>
              <w:outlineLvl w:val="1"/>
              <w:rPr>
                <w:rFonts w:hint="default"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1.00</w:t>
            </w:r>
          </w:p>
        </w:tc>
        <w:tc>
          <w:tcPr>
            <w:tcW w:w="455" w:type="dxa"/>
            <w:noWrap w:val="0"/>
            <w:vAlign w:val="center"/>
          </w:tcPr>
          <w:p>
            <w:pPr>
              <w:widowControl/>
              <w:jc w:val="center"/>
              <w:outlineLvl w:val="1"/>
              <w:rPr>
                <w:rFonts w:hint="default" w:eastAsia="仿宋_GB2312" w:cs="Times New Roman"/>
                <w:color w:val="auto"/>
                <w:kern w:val="0"/>
                <w:sz w:val="20"/>
                <w:szCs w:val="20"/>
                <w:highlight w:val="none"/>
                <w:lang w:val="en-US" w:eastAsia="zh-CN"/>
              </w:rPr>
            </w:pPr>
          </w:p>
        </w:tc>
        <w:tc>
          <w:tcPr>
            <w:tcW w:w="545" w:type="dxa"/>
            <w:gridSpan w:val="2"/>
            <w:noWrap w:val="0"/>
            <w:vAlign w:val="center"/>
          </w:tcPr>
          <w:p>
            <w:pPr>
              <w:widowControl/>
              <w:jc w:val="center"/>
              <w:outlineLvl w:val="1"/>
              <w:rPr>
                <w:rFonts w:hint="default" w:eastAsia="仿宋_GB2312" w:cs="Times New Roman"/>
                <w:color w:val="auto"/>
                <w:kern w:val="0"/>
                <w:sz w:val="20"/>
                <w:szCs w:val="20"/>
                <w:highlight w:val="none"/>
                <w:lang w:val="en-US" w:eastAsia="zh-CN"/>
              </w:rPr>
            </w:pPr>
          </w:p>
        </w:tc>
        <w:tc>
          <w:tcPr>
            <w:tcW w:w="819" w:type="dxa"/>
            <w:noWrap w:val="0"/>
            <w:vAlign w:val="center"/>
          </w:tcPr>
          <w:p>
            <w:pPr>
              <w:widowControl/>
              <w:jc w:val="center"/>
              <w:outlineLvl w:val="1"/>
              <w:rPr>
                <w:rFonts w:hint="default" w:eastAsia="仿宋_GB2312" w:cs="Times New Roman"/>
                <w:color w:val="auto"/>
                <w:kern w:val="0"/>
                <w:sz w:val="20"/>
                <w:szCs w:val="20"/>
                <w:highlight w:val="none"/>
                <w:lang w:val="en-US" w:eastAsia="zh-CN"/>
              </w:rPr>
            </w:pP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widowControl/>
              <w:jc w:val="both"/>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03</w:t>
            </w: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初中教育</w:t>
            </w:r>
          </w:p>
        </w:tc>
        <w:tc>
          <w:tcPr>
            <w:tcW w:w="1040" w:type="dxa"/>
            <w:noWrap w:val="0"/>
            <w:vAlign w:val="top"/>
          </w:tcPr>
          <w:p>
            <w:pPr>
              <w:widowControl/>
              <w:jc w:val="both"/>
              <w:outlineLvl w:val="1"/>
              <w:rPr>
                <w:rFonts w:hint="default"/>
                <w:color w:val="auto"/>
                <w:highlight w:val="none"/>
              </w:rPr>
            </w:pPr>
            <w:r>
              <w:rPr>
                <w:rFonts w:hint="default"/>
                <w:color w:val="auto"/>
                <w:highlight w:val="none"/>
              </w:rPr>
              <w:t>本级2026年保安服务费</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58.80</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color w:val="auto"/>
                <w:kern w:val="0"/>
                <w:sz w:val="20"/>
                <w:szCs w:val="20"/>
                <w:highlight w:val="none"/>
              </w:rPr>
              <w:t>58.80</w:t>
            </w: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450" w:type="dxa"/>
            <w:gridSpan w:val="3"/>
            <w:noWrap w:val="0"/>
            <w:vAlign w:val="center"/>
          </w:tcPr>
          <w:p>
            <w:pPr>
              <w:widowControl/>
              <w:jc w:val="center"/>
              <w:outlineLvl w:val="9"/>
              <w:rPr>
                <w:rFonts w:hint="eastAsia" w:ascii="仿宋_GB2312" w:eastAsia="仿宋_GB2312"/>
                <w:color w:val="auto"/>
                <w:kern w:val="2"/>
                <w:sz w:val="20"/>
                <w:szCs w:val="20"/>
                <w:highlight w:val="none"/>
                <w:u w:val="none"/>
                <w:lang w:val="en-US" w:eastAsia="zh-CN" w:bidi="ar"/>
              </w:rPr>
            </w:pPr>
            <w:r>
              <w:rPr>
                <w:rFonts w:hint="default" w:ascii="Times New Roman" w:hAnsi="Times New Roman" w:eastAsia="仿宋_GB2312" w:cs="Times New Roman"/>
                <w:b/>
                <w:color w:val="auto"/>
                <w:kern w:val="0"/>
                <w:sz w:val="20"/>
                <w:szCs w:val="20"/>
                <w:highlight w:val="none"/>
              </w:rPr>
              <w:t xml:space="preserve">科 目 </w:t>
            </w:r>
            <w:r>
              <w:rPr>
                <w:rFonts w:hint="default" w:ascii="Times New Roman" w:hAnsi="Times New Roman" w:eastAsia="仿宋_GB2312" w:cs="Times New Roman"/>
                <w:b/>
                <w:color w:val="auto"/>
                <w:kern w:val="0"/>
                <w:sz w:val="20"/>
                <w:szCs w:val="20"/>
                <w:highlight w:val="none"/>
                <w:lang w:val="en-US" w:eastAsia="zh-CN"/>
              </w:rPr>
              <w:t>代</w:t>
            </w:r>
            <w:r>
              <w:rPr>
                <w:rFonts w:hint="default" w:ascii="Times New Roman" w:hAnsi="Times New Roman" w:eastAsia="仿宋_GB2312" w:cs="Times New Roman"/>
                <w:b/>
                <w:color w:val="auto"/>
                <w:kern w:val="0"/>
                <w:sz w:val="20"/>
                <w:szCs w:val="20"/>
                <w:highlight w:val="none"/>
              </w:rPr>
              <w:t xml:space="preserve"> 码</w:t>
            </w:r>
          </w:p>
        </w:tc>
        <w:tc>
          <w:tcPr>
            <w:tcW w:w="714" w:type="dxa"/>
            <w:vMerge w:val="restart"/>
            <w:noWrap w:val="0"/>
            <w:vAlign w:val="center"/>
          </w:tcPr>
          <w:p>
            <w:pPr>
              <w:widowControl/>
              <w:jc w:val="center"/>
              <w:outlineLvl w:val="1"/>
              <w:rPr>
                <w:rFonts w:hint="eastAsia" w:ascii="仿宋_GB2312" w:hAnsi="Times New Roman" w:eastAsia="仿宋_GB2312" w:cs="Times New Roman"/>
                <w:i w:val="0"/>
                <w:color w:val="auto"/>
                <w:kern w:val="2"/>
                <w:sz w:val="20"/>
                <w:szCs w:val="20"/>
                <w:highlight w:val="none"/>
                <w:u w:val="none"/>
                <w:lang w:val="en-US" w:eastAsia="zh-CN" w:bidi="ar"/>
              </w:rPr>
            </w:pPr>
            <w:r>
              <w:rPr>
                <w:rFonts w:hint="default" w:ascii="Times New Roman" w:hAnsi="Times New Roman" w:eastAsia="仿宋_GB2312" w:cs="Times New Roman"/>
                <w:b/>
                <w:color w:val="auto"/>
                <w:kern w:val="0"/>
                <w:sz w:val="20"/>
                <w:szCs w:val="20"/>
                <w:highlight w:val="none"/>
              </w:rPr>
              <w:t>科目</w:t>
            </w:r>
            <w:r>
              <w:rPr>
                <w:rFonts w:hint="default" w:ascii="Times New Roman" w:hAnsi="Times New Roman" w:eastAsia="仿宋_GB2312" w:cs="Times New Roman"/>
                <w:b/>
                <w:color w:val="auto"/>
                <w:kern w:val="0"/>
                <w:sz w:val="20"/>
                <w:szCs w:val="20"/>
                <w:highlight w:val="none"/>
                <w:lang w:eastAsia="zh-CN"/>
              </w:rPr>
              <w:t>名称</w:t>
            </w:r>
          </w:p>
        </w:tc>
        <w:tc>
          <w:tcPr>
            <w:tcW w:w="1040" w:type="dxa"/>
            <w:vMerge w:val="restart"/>
            <w:noWrap w:val="0"/>
            <w:vAlign w:val="center"/>
          </w:tcPr>
          <w:p>
            <w:pPr>
              <w:jc w:val="center"/>
              <w:rPr>
                <w:rFonts w:hint="default" w:ascii="Times New Roman Regular" w:hAnsi="Times New Roman Regular" w:eastAsia="宋体" w:cs="Times New Roman Regular"/>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项目名称</w:t>
            </w:r>
          </w:p>
        </w:tc>
        <w:tc>
          <w:tcPr>
            <w:tcW w:w="858" w:type="dxa"/>
            <w:vMerge w:val="restart"/>
            <w:noWrap w:val="0"/>
            <w:vAlign w:val="center"/>
          </w:tcPr>
          <w:p>
            <w:pPr>
              <w:widowControl/>
              <w:jc w:val="center"/>
              <w:outlineLvl w:val="1"/>
              <w:rPr>
                <w:rFonts w:hint="eastAsia" w:eastAsia="仿宋_GB2312" w:cs="Times New Roman"/>
                <w:color w:val="auto"/>
                <w:kern w:val="0"/>
                <w:sz w:val="20"/>
                <w:szCs w:val="20"/>
                <w:highlight w:val="none"/>
                <w:lang w:val="en-US" w:eastAsia="zh-CN"/>
              </w:rPr>
            </w:pPr>
            <w:r>
              <w:rPr>
                <w:rFonts w:hint="default" w:ascii="Times New Roman" w:hAnsi="Times New Roman" w:eastAsia="仿宋_GB2312" w:cs="Times New Roman"/>
                <w:b/>
                <w:color w:val="auto"/>
                <w:kern w:val="0"/>
                <w:sz w:val="20"/>
                <w:szCs w:val="20"/>
                <w:highlight w:val="none"/>
              </w:rPr>
              <w:t>项目支出合计</w:t>
            </w:r>
          </w:p>
        </w:tc>
        <w:tc>
          <w:tcPr>
            <w:tcW w:w="482" w:type="dxa"/>
            <w:vMerge w:val="restart"/>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工资福利支出</w:t>
            </w:r>
          </w:p>
        </w:tc>
        <w:tc>
          <w:tcPr>
            <w:tcW w:w="800" w:type="dxa"/>
            <w:vMerge w:val="restart"/>
            <w:noWrap w:val="0"/>
            <w:vAlign w:val="center"/>
          </w:tcPr>
          <w:p>
            <w:pPr>
              <w:widowControl/>
              <w:jc w:val="center"/>
              <w:outlineLvl w:val="1"/>
              <w:rPr>
                <w:rFonts w:hint="eastAsia" w:eastAsia="仿宋_GB2312" w:cs="Times New Roman"/>
                <w:color w:val="auto"/>
                <w:kern w:val="0"/>
                <w:sz w:val="20"/>
                <w:szCs w:val="20"/>
                <w:highlight w:val="none"/>
                <w:lang w:val="en-US" w:eastAsia="zh-CN"/>
              </w:rPr>
            </w:pPr>
            <w:r>
              <w:rPr>
                <w:rFonts w:hint="default" w:ascii="Times New Roman" w:hAnsi="Times New Roman" w:eastAsia="仿宋_GB2312" w:cs="Times New Roman"/>
                <w:b/>
                <w:color w:val="auto"/>
                <w:kern w:val="0"/>
                <w:sz w:val="20"/>
                <w:szCs w:val="20"/>
                <w:highlight w:val="none"/>
              </w:rPr>
              <w:t>商品和服务支出</w:t>
            </w:r>
          </w:p>
        </w:tc>
        <w:tc>
          <w:tcPr>
            <w:tcW w:w="765" w:type="dxa"/>
            <w:vMerge w:val="restart"/>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对个人和家庭的补助</w:t>
            </w:r>
          </w:p>
        </w:tc>
        <w:tc>
          <w:tcPr>
            <w:tcW w:w="455" w:type="dxa"/>
            <w:vMerge w:val="restart"/>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债务利息及费用支出</w:t>
            </w:r>
          </w:p>
        </w:tc>
        <w:tc>
          <w:tcPr>
            <w:tcW w:w="545" w:type="dxa"/>
            <w:gridSpan w:val="2"/>
            <w:vMerge w:val="restart"/>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资本性支出（基本建设）</w:t>
            </w:r>
          </w:p>
        </w:tc>
        <w:tc>
          <w:tcPr>
            <w:tcW w:w="819" w:type="dxa"/>
            <w:vMerge w:val="restart"/>
            <w:noWrap w:val="0"/>
            <w:vAlign w:val="center"/>
          </w:tcPr>
          <w:p>
            <w:pPr>
              <w:widowControl/>
              <w:jc w:val="center"/>
              <w:outlineLvl w:val="1"/>
              <w:rPr>
                <w:rFonts w:hint="eastAsia" w:eastAsia="仿宋_GB2312" w:cs="Times New Roman"/>
                <w:color w:val="auto"/>
                <w:kern w:val="0"/>
                <w:sz w:val="20"/>
                <w:szCs w:val="20"/>
                <w:highlight w:val="none"/>
                <w:lang w:val="en-US" w:eastAsia="zh-CN"/>
              </w:rPr>
            </w:pPr>
            <w:r>
              <w:rPr>
                <w:rFonts w:hint="default" w:ascii="Times New Roman" w:hAnsi="Times New Roman" w:eastAsia="仿宋_GB2312" w:cs="Times New Roman"/>
                <w:b/>
                <w:color w:val="auto"/>
                <w:kern w:val="0"/>
                <w:sz w:val="20"/>
                <w:szCs w:val="20"/>
                <w:highlight w:val="none"/>
              </w:rPr>
              <w:t>资本性支出</w:t>
            </w:r>
          </w:p>
        </w:tc>
        <w:tc>
          <w:tcPr>
            <w:tcW w:w="528" w:type="dxa"/>
            <w:vMerge w:val="restart"/>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对企业补助（基本建设）</w:t>
            </w:r>
          </w:p>
        </w:tc>
        <w:tc>
          <w:tcPr>
            <w:tcW w:w="382" w:type="dxa"/>
            <w:vMerge w:val="restart"/>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对企业补助</w:t>
            </w:r>
          </w:p>
        </w:tc>
        <w:tc>
          <w:tcPr>
            <w:tcW w:w="382" w:type="dxa"/>
            <w:vMerge w:val="restart"/>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r>
              <w:rPr>
                <w:rFonts w:hint="default" w:ascii="Times New Roman" w:hAnsi="Times New Roman" w:eastAsia="仿宋_GB2312" w:cs="Times New Roman"/>
                <w:b/>
                <w:color w:val="auto"/>
                <w:kern w:val="0"/>
                <w:sz w:val="20"/>
                <w:szCs w:val="20"/>
                <w:highlight w:val="none"/>
              </w:rPr>
              <w:t>对社会保障基金补助</w:t>
            </w:r>
          </w:p>
        </w:tc>
        <w:tc>
          <w:tcPr>
            <w:tcW w:w="394" w:type="dxa"/>
            <w:gridSpan w:val="2"/>
            <w:vMerge w:val="restart"/>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b/>
                <w:color w:val="auto"/>
                <w:kern w:val="0"/>
                <w:sz w:val="20"/>
                <w:szCs w:val="20"/>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556" w:type="dxa"/>
            <w:noWrap w:val="0"/>
            <w:vAlign w:val="center"/>
          </w:tcPr>
          <w:p>
            <w:pPr>
              <w:widowControl/>
              <w:jc w:val="left"/>
              <w:outlineLvl w:val="1"/>
              <w:rPr>
                <w:rFonts w:hint="eastAsia" w:ascii="仿宋_GB2312" w:hAnsi="Times New Roman" w:eastAsia="仿宋_GB2312"/>
                <w:color w:val="auto"/>
                <w:kern w:val="2"/>
                <w:sz w:val="20"/>
                <w:szCs w:val="20"/>
                <w:highlight w:val="none"/>
                <w:u w:val="none"/>
                <w:lang w:val="en-US" w:eastAsia="zh-CN" w:bidi="ar"/>
              </w:rPr>
            </w:pPr>
            <w:r>
              <w:rPr>
                <w:rFonts w:hint="default" w:ascii="Times New Roman" w:hAnsi="Times New Roman" w:eastAsia="仿宋_GB2312" w:cs="Times New Roman"/>
                <w:b/>
                <w:color w:val="auto"/>
                <w:kern w:val="0"/>
                <w:sz w:val="20"/>
                <w:szCs w:val="20"/>
                <w:highlight w:val="none"/>
              </w:rPr>
              <w:t>类</w:t>
            </w:r>
          </w:p>
        </w:tc>
        <w:tc>
          <w:tcPr>
            <w:tcW w:w="447" w:type="dxa"/>
            <w:noWrap w:val="0"/>
            <w:vAlign w:val="center"/>
          </w:tcPr>
          <w:p>
            <w:pPr>
              <w:widowControl/>
              <w:jc w:val="left"/>
              <w:outlineLvl w:val="1"/>
              <w:rPr>
                <w:rFonts w:hint="eastAsia" w:ascii="仿宋_GB2312" w:hAnsi="Times New Roman" w:eastAsia="仿宋_GB2312"/>
                <w:color w:val="auto"/>
                <w:kern w:val="2"/>
                <w:sz w:val="20"/>
                <w:szCs w:val="20"/>
                <w:highlight w:val="none"/>
                <w:u w:val="none"/>
                <w:lang w:val="en-US" w:eastAsia="zh-CN" w:bidi="ar"/>
              </w:rPr>
            </w:pPr>
            <w:r>
              <w:rPr>
                <w:rFonts w:hint="default" w:ascii="Times New Roman" w:hAnsi="Times New Roman" w:eastAsia="仿宋_GB2312" w:cs="Times New Roman"/>
                <w:b/>
                <w:color w:val="auto"/>
                <w:kern w:val="0"/>
                <w:sz w:val="20"/>
                <w:szCs w:val="20"/>
                <w:highlight w:val="none"/>
              </w:rPr>
              <w:t>款</w:t>
            </w:r>
          </w:p>
        </w:tc>
        <w:tc>
          <w:tcPr>
            <w:tcW w:w="447" w:type="dxa"/>
            <w:noWrap w:val="0"/>
            <w:vAlign w:val="center"/>
          </w:tcPr>
          <w:p>
            <w:pPr>
              <w:widowControl/>
              <w:jc w:val="left"/>
              <w:outlineLvl w:val="1"/>
              <w:rPr>
                <w:rFonts w:hint="eastAsia" w:ascii="仿宋_GB2312" w:hAnsi="Times New Roman" w:eastAsia="仿宋_GB2312"/>
                <w:color w:val="auto"/>
                <w:kern w:val="2"/>
                <w:sz w:val="20"/>
                <w:szCs w:val="20"/>
                <w:highlight w:val="none"/>
                <w:u w:val="none"/>
                <w:lang w:val="en-US" w:eastAsia="zh-CN" w:bidi="ar"/>
              </w:rPr>
            </w:pPr>
            <w:r>
              <w:rPr>
                <w:rFonts w:hint="default" w:ascii="Times New Roman" w:hAnsi="Times New Roman" w:eastAsia="仿宋_GB2312" w:cs="Times New Roman"/>
                <w:b/>
                <w:color w:val="auto"/>
                <w:kern w:val="0"/>
                <w:sz w:val="20"/>
                <w:szCs w:val="20"/>
                <w:highlight w:val="none"/>
              </w:rPr>
              <w:t>项</w:t>
            </w:r>
          </w:p>
        </w:tc>
        <w:tc>
          <w:tcPr>
            <w:tcW w:w="714"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1040"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858"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482"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800"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765"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455"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545" w:type="dxa"/>
            <w:gridSpan w:val="2"/>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819"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528"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382"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382" w:type="dxa"/>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c>
          <w:tcPr>
            <w:tcW w:w="394" w:type="dxa"/>
            <w:gridSpan w:val="2"/>
            <w:vMerge w:val="continue"/>
            <w:noWrap w:val="0"/>
            <w:vAlign w:val="center"/>
          </w:tcPr>
          <w:p>
            <w:pPr>
              <w:widowControl/>
              <w:jc w:val="both"/>
              <w:outlineLvl w:val="9"/>
              <w:rPr>
                <w:rFonts w:hint="eastAsia" w:ascii="仿宋_GB2312" w:hAnsi="Times New Roman" w:eastAsia="仿宋_GB2312"/>
                <w:color w:val="auto"/>
                <w:kern w:val="2"/>
                <w:sz w:val="20"/>
                <w:szCs w:val="20"/>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widowControl/>
              <w:jc w:val="both"/>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03</w:t>
            </w: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初中教育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rPr>
              <w:t>本级2026年食堂维修改造费用</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209.35</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33.68</w:t>
            </w: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175.67</w:t>
            </w: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556" w:type="dxa"/>
            <w:noWrap w:val="0"/>
            <w:vAlign w:val="center"/>
          </w:tcPr>
          <w:p>
            <w:pPr>
              <w:widowControl/>
              <w:jc w:val="both"/>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03</w:t>
            </w: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初中教育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rPr>
              <w:t>本级保基本民生城乡义务教育补助经费（免费教科书）</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0.08</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0.08</w:t>
            </w: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widowControl/>
              <w:jc w:val="both"/>
              <w:outlineLvl w:val="9"/>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olor w:val="auto"/>
                <w:kern w:val="2"/>
                <w:sz w:val="20"/>
                <w:szCs w:val="20"/>
                <w:highlight w:val="none"/>
                <w:u w:val="none"/>
                <w:lang w:val="en-US" w:eastAsia="zh-CN" w:bidi="ar"/>
              </w:rPr>
              <w:t>205</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02</w:t>
            </w:r>
          </w:p>
        </w:tc>
        <w:tc>
          <w:tcPr>
            <w:tcW w:w="447" w:type="dxa"/>
            <w:noWrap w:val="0"/>
            <w:vAlign w:val="center"/>
          </w:tcPr>
          <w:p>
            <w:pPr>
              <w:widowControl/>
              <w:jc w:val="center"/>
              <w:outlineLvl w:val="9"/>
              <w:rPr>
                <w:rFonts w:hint="default" w:ascii="Times New Roman" w:hAnsi="Times New Roman" w:eastAsia="仿宋_GB2312" w:cs="Times New Roman"/>
                <w:color w:val="auto"/>
                <w:kern w:val="0"/>
                <w:sz w:val="40"/>
                <w:szCs w:val="40"/>
                <w:highlight w:val="none"/>
              </w:rPr>
            </w:pPr>
            <w:r>
              <w:rPr>
                <w:rFonts w:hint="eastAsia" w:ascii="仿宋_GB2312" w:eastAsia="仿宋_GB2312"/>
                <w:color w:val="auto"/>
                <w:kern w:val="2"/>
                <w:sz w:val="20"/>
                <w:szCs w:val="20"/>
                <w:highlight w:val="none"/>
                <w:u w:val="none"/>
                <w:lang w:val="en-US" w:eastAsia="zh-CN" w:bidi="ar"/>
              </w:rPr>
              <w:t>03</w:t>
            </w:r>
          </w:p>
        </w:tc>
        <w:tc>
          <w:tcPr>
            <w:tcW w:w="714" w:type="dxa"/>
            <w:noWrap w:val="0"/>
            <w:vAlign w:val="center"/>
          </w:tcPr>
          <w:p>
            <w:pPr>
              <w:keepNext w:val="0"/>
              <w:keepLines w:val="0"/>
              <w:widowControl/>
              <w:suppressLineNumbers w:val="0"/>
              <w:jc w:val="center"/>
              <w:textAlignment w:val="auto"/>
              <w:rPr>
                <w:rFonts w:hint="default" w:ascii="Times New Roman" w:hAnsi="Times New Roman" w:eastAsia="仿宋_GB2312" w:cs="Times New Roman"/>
                <w:color w:val="auto"/>
                <w:kern w:val="0"/>
                <w:sz w:val="40"/>
                <w:szCs w:val="40"/>
                <w:highlight w:val="none"/>
              </w:rPr>
            </w:pPr>
            <w:r>
              <w:rPr>
                <w:rFonts w:hint="eastAsia" w:ascii="仿宋_GB2312" w:hAnsi="Times New Roman" w:eastAsia="仿宋_GB2312" w:cs="Times New Roman"/>
                <w:i w:val="0"/>
                <w:color w:val="auto"/>
                <w:kern w:val="2"/>
                <w:sz w:val="20"/>
                <w:szCs w:val="20"/>
                <w:highlight w:val="none"/>
                <w:u w:val="none"/>
                <w:lang w:val="en-US" w:eastAsia="zh-CN" w:bidi="ar"/>
              </w:rPr>
              <w:t>初中教育</w:t>
            </w:r>
          </w:p>
        </w:tc>
        <w:tc>
          <w:tcPr>
            <w:tcW w:w="1040" w:type="dxa"/>
            <w:noWrap w:val="0"/>
            <w:vAlign w:val="top"/>
          </w:tcPr>
          <w:p>
            <w:pPr>
              <w:widowControl/>
              <w:jc w:val="both"/>
              <w:outlineLvl w:val="1"/>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color w:val="auto"/>
                <w:kern w:val="0"/>
                <w:sz w:val="20"/>
                <w:szCs w:val="20"/>
                <w:highlight w:val="none"/>
              </w:rPr>
              <w:t>本级保基本民生家庭困难学生补助</w:t>
            </w:r>
          </w:p>
        </w:tc>
        <w:tc>
          <w:tcPr>
            <w:tcW w:w="85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1.22</w:t>
            </w:r>
          </w:p>
        </w:tc>
        <w:tc>
          <w:tcPr>
            <w:tcW w:w="4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00"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76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lang w:val="en-US" w:eastAsia="zh-CN"/>
              </w:rPr>
            </w:pPr>
            <w:r>
              <w:rPr>
                <w:rFonts w:hint="eastAsia" w:eastAsia="仿宋_GB2312" w:cs="Times New Roman"/>
                <w:color w:val="auto"/>
                <w:kern w:val="0"/>
                <w:sz w:val="20"/>
                <w:szCs w:val="20"/>
                <w:highlight w:val="none"/>
                <w:lang w:val="en-US" w:eastAsia="zh-CN"/>
              </w:rPr>
              <w:t>1.22</w:t>
            </w: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819"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528"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82" w:type="dxa"/>
            <w:noWrap w:val="0"/>
            <w:vAlign w:val="center"/>
          </w:tcPr>
          <w:p>
            <w:pPr>
              <w:widowControl/>
              <w:jc w:val="center"/>
              <w:outlineLvl w:val="1"/>
              <w:rPr>
                <w:rFonts w:hint="default" w:ascii="Times New Roman" w:hAnsi="Times New Roman" w:eastAsia="仿宋_GB2312" w:cs="Times New Roman"/>
                <w:color w:val="auto"/>
                <w:kern w:val="0"/>
                <w:sz w:val="20"/>
                <w:szCs w:val="20"/>
                <w:highlight w:val="none"/>
              </w:rPr>
            </w:pPr>
          </w:p>
        </w:tc>
        <w:tc>
          <w:tcPr>
            <w:tcW w:w="394" w:type="dxa"/>
            <w:gridSpan w:val="2"/>
            <w:noWrap w:val="0"/>
            <w:vAlign w:val="center"/>
          </w:tcPr>
          <w:p>
            <w:pPr>
              <w:widowControl/>
              <w:jc w:val="center"/>
              <w:outlineLvl w:val="1"/>
              <w:rPr>
                <w:rFonts w:hint="default"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keepNext w:val="0"/>
              <w:keepLines w:val="0"/>
              <w:widowControl/>
              <w:suppressLineNumbers w:val="0"/>
              <w:jc w:val="center"/>
              <w:textAlignment w:val="center"/>
              <w:rPr>
                <w:rFonts w:hint="eastAsia" w:ascii="仿宋_GB2312" w:hAnsi="Times New Roman" w:eastAsia="仿宋_GB2312"/>
                <w:color w:val="auto"/>
                <w:kern w:val="2"/>
                <w:sz w:val="20"/>
                <w:szCs w:val="20"/>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47" w:type="dxa"/>
            <w:noWrap w:val="0"/>
            <w:vAlign w:val="center"/>
          </w:tcPr>
          <w:p>
            <w:pPr>
              <w:keepNext w:val="0"/>
              <w:keepLines w:val="0"/>
              <w:widowControl/>
              <w:suppressLineNumbers w:val="0"/>
              <w:jc w:val="center"/>
              <w:textAlignment w:val="center"/>
              <w:rPr>
                <w:rFonts w:hint="eastAsia" w:ascii="仿宋_GB2312" w:eastAsia="仿宋_GB2312"/>
                <w:color w:val="auto"/>
                <w:kern w:val="2"/>
                <w:sz w:val="20"/>
                <w:szCs w:val="20"/>
                <w:highlight w:val="none"/>
                <w:u w:val="none"/>
                <w:lang w:val="en-US" w:eastAsia="zh-CN" w:bidi="ar"/>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07</w:t>
            </w:r>
          </w:p>
        </w:tc>
        <w:tc>
          <w:tcPr>
            <w:tcW w:w="447" w:type="dxa"/>
            <w:noWrap w:val="0"/>
            <w:vAlign w:val="center"/>
          </w:tcPr>
          <w:p>
            <w:pPr>
              <w:jc w:val="center"/>
              <w:rPr>
                <w:rFonts w:hint="default" w:ascii="Times New Roman" w:hAnsi="Times New Roman" w:eastAsia="仿宋_GB2312" w:cs="Times New Roman"/>
                <w:color w:val="auto"/>
                <w:kern w:val="0"/>
                <w:sz w:val="32"/>
                <w:szCs w:val="32"/>
                <w:highlight w:val="none"/>
              </w:rPr>
            </w:pPr>
          </w:p>
        </w:tc>
        <w:tc>
          <w:tcPr>
            <w:tcW w:w="714" w:type="dxa"/>
            <w:noWrap w:val="0"/>
            <w:vAlign w:val="center"/>
          </w:tcPr>
          <w:p>
            <w:pPr>
              <w:keepNext w:val="0"/>
              <w:keepLines w:val="0"/>
              <w:widowControl/>
              <w:suppressLineNumbers w:val="0"/>
              <w:jc w:val="left"/>
              <w:textAlignment w:val="center"/>
              <w:rPr>
                <w:rFonts w:hint="eastAsia" w:eastAsia="仿宋_GB2312" w:cs="Times New Roman"/>
                <w:color w:val="auto"/>
                <w:kern w:val="0"/>
                <w:sz w:val="20"/>
                <w:szCs w:val="20"/>
                <w:highlight w:val="none"/>
                <w:lang w:val="en-US" w:eastAsia="zh-CN"/>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特殊教育</w:t>
            </w:r>
          </w:p>
        </w:tc>
        <w:tc>
          <w:tcPr>
            <w:tcW w:w="1040" w:type="dxa"/>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0"/>
                <w:szCs w:val="20"/>
                <w:highlight w:val="none"/>
                <w:lang w:val="en-US" w:eastAsia="zh-CN"/>
              </w:rPr>
            </w:pPr>
          </w:p>
        </w:tc>
        <w:tc>
          <w:tcPr>
            <w:tcW w:w="858" w:type="dxa"/>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1"/>
                <w:szCs w:val="21"/>
                <w:highlight w:val="none"/>
                <w:lang w:val="en-US" w:eastAsia="zh-CN"/>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482" w:type="dxa"/>
            <w:noWrap w:val="0"/>
            <w:vAlign w:val="top"/>
          </w:tcPr>
          <w:p>
            <w:pPr>
              <w:widowControl/>
              <w:jc w:val="both"/>
              <w:outlineLvl w:val="1"/>
              <w:rPr>
                <w:rFonts w:hint="default" w:ascii="Times New Roman" w:hAnsi="Times New Roman" w:eastAsia="仿宋_GB2312" w:cs="Times New Roman"/>
                <w:color w:val="auto"/>
                <w:kern w:val="0"/>
                <w:sz w:val="16"/>
                <w:szCs w:val="16"/>
                <w:highlight w:val="none"/>
              </w:rPr>
            </w:pPr>
          </w:p>
        </w:tc>
        <w:tc>
          <w:tcPr>
            <w:tcW w:w="800" w:type="dxa"/>
            <w:noWrap w:val="0"/>
            <w:vAlign w:val="center"/>
          </w:tcPr>
          <w:p>
            <w:pPr>
              <w:keepNext w:val="0"/>
              <w:keepLines w:val="0"/>
              <w:widowControl/>
              <w:suppressLineNumbers w:val="0"/>
              <w:jc w:val="center"/>
              <w:textAlignment w:val="center"/>
              <w:rPr>
                <w:rFonts w:hint="eastAsia" w:eastAsia="仿宋_GB2312" w:cs="Times New Roman"/>
                <w:color w:val="auto"/>
                <w:kern w:val="0"/>
                <w:sz w:val="18"/>
                <w:szCs w:val="18"/>
                <w:highlight w:val="none"/>
                <w:lang w:val="en-US" w:eastAsia="zh-CN"/>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765" w:type="dxa"/>
            <w:noWrap w:val="0"/>
            <w:vAlign w:val="center"/>
          </w:tcPr>
          <w:p>
            <w:pPr>
              <w:widowControl/>
              <w:jc w:val="center"/>
              <w:outlineLvl w:val="1"/>
              <w:rPr>
                <w:rFonts w:hint="default" w:eastAsia="仿宋_GB2312" w:cs="Times New Roman"/>
                <w:color w:val="auto"/>
                <w:kern w:val="0"/>
                <w:sz w:val="18"/>
                <w:szCs w:val="18"/>
                <w:highlight w:val="none"/>
                <w:lang w:val="en-US" w:eastAsia="zh-CN"/>
              </w:rPr>
            </w:pP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16"/>
                <w:szCs w:val="16"/>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16"/>
                <w:szCs w:val="16"/>
                <w:highlight w:val="none"/>
              </w:rPr>
            </w:pPr>
          </w:p>
        </w:tc>
        <w:tc>
          <w:tcPr>
            <w:tcW w:w="819" w:type="dxa"/>
            <w:noWrap w:val="0"/>
            <w:vAlign w:val="center"/>
          </w:tcPr>
          <w:p>
            <w:pPr>
              <w:widowControl/>
              <w:jc w:val="center"/>
              <w:outlineLvl w:val="1"/>
              <w:rPr>
                <w:rFonts w:hint="eastAsia" w:eastAsia="仿宋_GB2312" w:cs="Times New Roman"/>
                <w:color w:val="auto"/>
                <w:kern w:val="0"/>
                <w:sz w:val="20"/>
                <w:szCs w:val="20"/>
                <w:highlight w:val="none"/>
                <w:lang w:val="en-US" w:eastAsia="zh-CN"/>
              </w:rPr>
            </w:pPr>
          </w:p>
        </w:tc>
        <w:tc>
          <w:tcPr>
            <w:tcW w:w="528"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82"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82"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94" w:type="dxa"/>
            <w:gridSpan w:val="2"/>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32"/>
                <w:szCs w:val="3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205</w:t>
            </w:r>
          </w:p>
        </w:tc>
        <w:tc>
          <w:tcPr>
            <w:tcW w:w="447"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32"/>
                <w:szCs w:val="3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07</w:t>
            </w:r>
          </w:p>
        </w:tc>
        <w:tc>
          <w:tcPr>
            <w:tcW w:w="447" w:type="dxa"/>
            <w:noWrap w:val="0"/>
            <w:vAlign w:val="center"/>
          </w:tcPr>
          <w:p>
            <w:pPr>
              <w:keepNext w:val="0"/>
              <w:keepLines w:val="0"/>
              <w:widowControl/>
              <w:suppressLineNumbers w:val="0"/>
              <w:jc w:val="center"/>
              <w:textAlignment w:val="center"/>
              <w:rPr>
                <w:rFonts w:hint="default" w:ascii="Times New Roman" w:hAnsi="Times New Roman" w:eastAsia="仿宋_GB2312" w:cs="Times New Roman"/>
                <w:color w:val="auto"/>
                <w:kern w:val="0"/>
                <w:sz w:val="32"/>
                <w:szCs w:val="32"/>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99</w:t>
            </w:r>
          </w:p>
        </w:tc>
        <w:tc>
          <w:tcPr>
            <w:tcW w:w="714" w:type="dxa"/>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color w:val="auto"/>
                <w:kern w:val="0"/>
                <w:sz w:val="20"/>
                <w:szCs w:val="20"/>
                <w:highlight w:val="none"/>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其他特殊教育支出</w:t>
            </w:r>
          </w:p>
        </w:tc>
        <w:tc>
          <w:tcPr>
            <w:tcW w:w="1040" w:type="dxa"/>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0"/>
                <w:szCs w:val="20"/>
                <w:highlight w:val="none"/>
                <w:lang w:val="en-US" w:eastAsia="zh-CN"/>
              </w:rPr>
            </w:pPr>
            <w:r>
              <w:rPr>
                <w:rFonts w:hint="default" w:ascii="Times New Roman Regular" w:hAnsi="Times New Roman Regular" w:eastAsia="宋体" w:cs="Times New Roman Regular"/>
                <w:color w:val="auto"/>
                <w:kern w:val="0"/>
                <w:sz w:val="20"/>
                <w:szCs w:val="20"/>
                <w:highlight w:val="none"/>
              </w:rPr>
              <w:t>2026年城乡义务教育补助经费</w:t>
            </w:r>
          </w:p>
        </w:tc>
        <w:tc>
          <w:tcPr>
            <w:tcW w:w="858" w:type="dxa"/>
            <w:noWrap w:val="0"/>
            <w:vAlign w:val="center"/>
          </w:tcPr>
          <w:p>
            <w:pPr>
              <w:keepNext w:val="0"/>
              <w:keepLines w:val="0"/>
              <w:widowControl/>
              <w:suppressLineNumbers w:val="0"/>
              <w:jc w:val="center"/>
              <w:textAlignment w:val="center"/>
              <w:rPr>
                <w:rFonts w:hint="default" w:ascii="Times New Roman Regular" w:hAnsi="Times New Roman Regular" w:eastAsia="宋体" w:cs="Times New Roman Regular"/>
                <w:color w:val="auto"/>
                <w:kern w:val="0"/>
                <w:sz w:val="21"/>
                <w:szCs w:val="21"/>
                <w:highlight w:val="none"/>
                <w:lang w:val="en-US" w:eastAsia="zh-CN"/>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482" w:type="dxa"/>
            <w:noWrap w:val="0"/>
            <w:vAlign w:val="top"/>
          </w:tcPr>
          <w:p>
            <w:pPr>
              <w:widowControl/>
              <w:jc w:val="both"/>
              <w:outlineLvl w:val="1"/>
              <w:rPr>
                <w:rFonts w:hint="default" w:ascii="Times New Roman" w:hAnsi="Times New Roman" w:eastAsia="仿宋_GB2312" w:cs="Times New Roman"/>
                <w:color w:val="auto"/>
                <w:kern w:val="0"/>
                <w:sz w:val="16"/>
                <w:szCs w:val="16"/>
                <w:highlight w:val="none"/>
              </w:rPr>
            </w:pPr>
          </w:p>
        </w:tc>
        <w:tc>
          <w:tcPr>
            <w:tcW w:w="800" w:type="dxa"/>
            <w:noWrap w:val="0"/>
            <w:vAlign w:val="center"/>
          </w:tcPr>
          <w:p>
            <w:pPr>
              <w:keepNext w:val="0"/>
              <w:keepLines w:val="0"/>
              <w:widowControl/>
              <w:suppressLineNumbers w:val="0"/>
              <w:jc w:val="center"/>
              <w:textAlignment w:val="center"/>
              <w:rPr>
                <w:rFonts w:hint="eastAsia" w:eastAsia="仿宋_GB2312" w:cs="Times New Roman"/>
                <w:color w:val="auto"/>
                <w:kern w:val="0"/>
                <w:sz w:val="18"/>
                <w:szCs w:val="18"/>
                <w:highlight w:val="none"/>
                <w:lang w:val="en-US" w:eastAsia="zh-CN"/>
              </w:rPr>
            </w:pPr>
            <w:r>
              <w:rPr>
                <w:rFonts w:hint="default" w:ascii="Times New Roman Regular" w:hAnsi="Times New Roman Regular" w:eastAsia="宋体" w:cs="Times New Roman Regular"/>
                <w:i w:val="0"/>
                <w:iCs w:val="0"/>
                <w:color w:val="auto"/>
                <w:kern w:val="0"/>
                <w:sz w:val="22"/>
                <w:szCs w:val="22"/>
                <w:highlight w:val="none"/>
                <w:u w:val="none"/>
                <w:lang w:val="en-US" w:eastAsia="zh-CN" w:bidi="ar"/>
              </w:rPr>
              <w:t>6.62</w:t>
            </w:r>
          </w:p>
        </w:tc>
        <w:tc>
          <w:tcPr>
            <w:tcW w:w="765" w:type="dxa"/>
            <w:noWrap w:val="0"/>
            <w:vAlign w:val="center"/>
          </w:tcPr>
          <w:p>
            <w:pPr>
              <w:widowControl/>
              <w:jc w:val="center"/>
              <w:outlineLvl w:val="1"/>
              <w:rPr>
                <w:rFonts w:hint="default" w:eastAsia="仿宋_GB2312" w:cs="Times New Roman"/>
                <w:color w:val="auto"/>
                <w:kern w:val="0"/>
                <w:sz w:val="18"/>
                <w:szCs w:val="18"/>
                <w:highlight w:val="none"/>
                <w:lang w:val="en-US" w:eastAsia="zh-CN"/>
              </w:rPr>
            </w:pPr>
          </w:p>
        </w:tc>
        <w:tc>
          <w:tcPr>
            <w:tcW w:w="455" w:type="dxa"/>
            <w:noWrap w:val="0"/>
            <w:vAlign w:val="center"/>
          </w:tcPr>
          <w:p>
            <w:pPr>
              <w:widowControl/>
              <w:jc w:val="center"/>
              <w:outlineLvl w:val="1"/>
              <w:rPr>
                <w:rFonts w:hint="default" w:ascii="Times New Roman" w:hAnsi="Times New Roman" w:eastAsia="仿宋_GB2312" w:cs="Times New Roman"/>
                <w:color w:val="auto"/>
                <w:kern w:val="0"/>
                <w:sz w:val="16"/>
                <w:szCs w:val="16"/>
                <w:highlight w:val="none"/>
              </w:rPr>
            </w:pPr>
          </w:p>
        </w:tc>
        <w:tc>
          <w:tcPr>
            <w:tcW w:w="545" w:type="dxa"/>
            <w:gridSpan w:val="2"/>
            <w:noWrap w:val="0"/>
            <w:vAlign w:val="center"/>
          </w:tcPr>
          <w:p>
            <w:pPr>
              <w:widowControl/>
              <w:jc w:val="center"/>
              <w:outlineLvl w:val="1"/>
              <w:rPr>
                <w:rFonts w:hint="default" w:ascii="Times New Roman" w:hAnsi="Times New Roman" w:eastAsia="仿宋_GB2312" w:cs="Times New Roman"/>
                <w:color w:val="auto"/>
                <w:kern w:val="0"/>
                <w:sz w:val="16"/>
                <w:szCs w:val="16"/>
                <w:highlight w:val="none"/>
              </w:rPr>
            </w:pPr>
          </w:p>
        </w:tc>
        <w:tc>
          <w:tcPr>
            <w:tcW w:w="819" w:type="dxa"/>
            <w:noWrap w:val="0"/>
            <w:vAlign w:val="center"/>
          </w:tcPr>
          <w:p>
            <w:pPr>
              <w:widowControl/>
              <w:jc w:val="center"/>
              <w:outlineLvl w:val="1"/>
              <w:rPr>
                <w:rFonts w:hint="eastAsia" w:eastAsia="仿宋_GB2312" w:cs="Times New Roman"/>
                <w:color w:val="auto"/>
                <w:kern w:val="0"/>
                <w:sz w:val="20"/>
                <w:szCs w:val="20"/>
                <w:highlight w:val="none"/>
                <w:lang w:val="en-US" w:eastAsia="zh-CN"/>
              </w:rPr>
            </w:pPr>
          </w:p>
        </w:tc>
        <w:tc>
          <w:tcPr>
            <w:tcW w:w="528"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82"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82"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94" w:type="dxa"/>
            <w:gridSpan w:val="2"/>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6" w:type="dxa"/>
            <w:noWrap w:val="0"/>
            <w:vAlign w:val="top"/>
          </w:tcPr>
          <w:p>
            <w:pPr>
              <w:widowControl/>
              <w:jc w:val="both"/>
              <w:outlineLvl w:val="1"/>
              <w:rPr>
                <w:rFonts w:hint="default" w:ascii="Times New Roman" w:hAnsi="Times New Roman" w:eastAsia="仿宋_GB2312" w:cs="Times New Roman"/>
                <w:color w:val="auto"/>
                <w:kern w:val="0"/>
                <w:sz w:val="32"/>
                <w:szCs w:val="32"/>
                <w:highlight w:val="none"/>
              </w:rPr>
            </w:pPr>
          </w:p>
        </w:tc>
        <w:tc>
          <w:tcPr>
            <w:tcW w:w="447" w:type="dxa"/>
            <w:noWrap w:val="0"/>
            <w:vAlign w:val="top"/>
          </w:tcPr>
          <w:p>
            <w:pPr>
              <w:widowControl/>
              <w:jc w:val="both"/>
              <w:outlineLvl w:val="1"/>
              <w:rPr>
                <w:rFonts w:hint="default" w:ascii="Times New Roman" w:hAnsi="Times New Roman" w:eastAsia="仿宋_GB2312" w:cs="Times New Roman"/>
                <w:color w:val="auto"/>
                <w:kern w:val="0"/>
                <w:sz w:val="32"/>
                <w:szCs w:val="32"/>
                <w:highlight w:val="none"/>
              </w:rPr>
            </w:pPr>
          </w:p>
        </w:tc>
        <w:tc>
          <w:tcPr>
            <w:tcW w:w="447" w:type="dxa"/>
            <w:noWrap w:val="0"/>
            <w:vAlign w:val="top"/>
          </w:tcPr>
          <w:p>
            <w:pPr>
              <w:widowControl/>
              <w:jc w:val="both"/>
              <w:outlineLvl w:val="1"/>
              <w:rPr>
                <w:rFonts w:hint="default" w:ascii="Times New Roman" w:hAnsi="Times New Roman" w:eastAsia="仿宋_GB2312" w:cs="Times New Roman"/>
                <w:color w:val="auto"/>
                <w:kern w:val="0"/>
                <w:sz w:val="32"/>
                <w:szCs w:val="32"/>
                <w:highlight w:val="none"/>
              </w:rPr>
            </w:pPr>
          </w:p>
        </w:tc>
        <w:tc>
          <w:tcPr>
            <w:tcW w:w="714" w:type="dxa"/>
            <w:noWrap w:val="0"/>
            <w:vAlign w:val="top"/>
          </w:tcPr>
          <w:p>
            <w:pPr>
              <w:widowControl/>
              <w:jc w:val="both"/>
              <w:outlineLvl w:val="1"/>
              <w:rPr>
                <w:rFonts w:hint="default" w:ascii="Times New Roman" w:hAnsi="Times New Roman" w:eastAsia="仿宋_GB2312" w:cs="Times New Roman"/>
                <w:color w:val="auto"/>
                <w:kern w:val="0"/>
                <w:sz w:val="32"/>
                <w:szCs w:val="32"/>
                <w:highlight w:val="none"/>
              </w:rPr>
            </w:pPr>
          </w:p>
        </w:tc>
        <w:tc>
          <w:tcPr>
            <w:tcW w:w="1040" w:type="dxa"/>
            <w:noWrap w:val="0"/>
            <w:vAlign w:val="center"/>
          </w:tcPr>
          <w:p>
            <w:pPr>
              <w:widowControl/>
              <w:jc w:val="center"/>
              <w:outlineLvl w:val="1"/>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b/>
                <w:bCs/>
                <w:color w:val="auto"/>
                <w:kern w:val="0"/>
                <w:sz w:val="20"/>
                <w:szCs w:val="20"/>
                <w:highlight w:val="none"/>
                <w:lang w:val="en-US" w:eastAsia="zh-CN"/>
              </w:rPr>
              <w:t>总</w:t>
            </w:r>
            <w:r>
              <w:rPr>
                <w:rFonts w:hint="default" w:ascii="Times New Roman" w:hAnsi="Times New Roman" w:eastAsia="仿宋_GB2312" w:cs="Times New Roman"/>
                <w:b/>
                <w:bCs/>
                <w:color w:val="auto"/>
                <w:kern w:val="0"/>
                <w:sz w:val="20"/>
                <w:szCs w:val="20"/>
                <w:highlight w:val="none"/>
              </w:rPr>
              <w:t xml:space="preserve"> </w:t>
            </w:r>
            <w:r>
              <w:rPr>
                <w:rFonts w:hint="default" w:ascii="Times New Roman" w:hAnsi="Times New Roman" w:eastAsia="仿宋_GB2312" w:cs="Times New Roman"/>
                <w:b/>
                <w:bCs/>
                <w:color w:val="auto"/>
                <w:kern w:val="0"/>
                <w:sz w:val="20"/>
                <w:szCs w:val="20"/>
                <w:highlight w:val="none"/>
                <w:lang w:val="en-US" w:eastAsia="zh-CN"/>
              </w:rPr>
              <w:t xml:space="preserve"> </w:t>
            </w:r>
            <w:r>
              <w:rPr>
                <w:rFonts w:hint="default" w:ascii="Times New Roman" w:hAnsi="Times New Roman" w:eastAsia="仿宋_GB2312" w:cs="Times New Roman"/>
                <w:b/>
                <w:bCs/>
                <w:color w:val="auto"/>
                <w:kern w:val="0"/>
                <w:sz w:val="20"/>
                <w:szCs w:val="20"/>
                <w:highlight w:val="none"/>
              </w:rPr>
              <w:t>计</w:t>
            </w:r>
          </w:p>
        </w:tc>
        <w:tc>
          <w:tcPr>
            <w:tcW w:w="858"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535.81</w:t>
            </w:r>
          </w:p>
        </w:tc>
        <w:tc>
          <w:tcPr>
            <w:tcW w:w="482"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p>
        </w:tc>
        <w:tc>
          <w:tcPr>
            <w:tcW w:w="800"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321.13</w:t>
            </w:r>
          </w:p>
        </w:tc>
        <w:tc>
          <w:tcPr>
            <w:tcW w:w="765"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18.55</w:t>
            </w:r>
          </w:p>
        </w:tc>
        <w:tc>
          <w:tcPr>
            <w:tcW w:w="455"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p>
        </w:tc>
        <w:tc>
          <w:tcPr>
            <w:tcW w:w="545" w:type="dxa"/>
            <w:gridSpan w:val="2"/>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p>
        </w:tc>
        <w:tc>
          <w:tcPr>
            <w:tcW w:w="819" w:type="dxa"/>
            <w:noWrap w:val="0"/>
            <w:vAlign w:val="center"/>
          </w:tcPr>
          <w:p>
            <w:pPr>
              <w:keepNext w:val="0"/>
              <w:keepLines w:val="0"/>
              <w:widowControl/>
              <w:suppressLineNumbers w:val="0"/>
              <w:jc w:val="left"/>
              <w:textAlignment w:val="center"/>
              <w:rPr>
                <w:rFonts w:hint="default" w:ascii="Times New Roman" w:hAnsi="Times New Roman" w:eastAsia="仿宋_GB2312" w:cs="Times New Roman"/>
                <w:color w:val="auto"/>
                <w:kern w:val="0"/>
                <w:sz w:val="16"/>
                <w:szCs w:val="16"/>
                <w:highlight w:val="none"/>
              </w:rPr>
            </w:pPr>
            <w:r>
              <w:rPr>
                <w:rFonts w:hint="default" w:ascii="Times New Roman Regular" w:hAnsi="Times New Roman Regular" w:eastAsia="Times New Roman Regular" w:cs="Times New Roman Regular"/>
                <w:i w:val="0"/>
                <w:iCs w:val="0"/>
                <w:color w:val="auto"/>
                <w:kern w:val="0"/>
                <w:sz w:val="21"/>
                <w:szCs w:val="21"/>
                <w:highlight w:val="none"/>
                <w:u w:val="none"/>
                <w:lang w:val="en-US" w:eastAsia="zh-CN" w:bidi="ar"/>
              </w:rPr>
              <w:t>196.13</w:t>
            </w:r>
          </w:p>
        </w:tc>
        <w:tc>
          <w:tcPr>
            <w:tcW w:w="528"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82"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82" w:type="dxa"/>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c>
          <w:tcPr>
            <w:tcW w:w="394" w:type="dxa"/>
            <w:gridSpan w:val="2"/>
            <w:noWrap w:val="0"/>
            <w:vAlign w:val="top"/>
          </w:tcPr>
          <w:p>
            <w:pPr>
              <w:widowControl/>
              <w:jc w:val="left"/>
              <w:outlineLvl w:val="1"/>
              <w:rPr>
                <w:rFonts w:hint="default" w:ascii="Times New Roman" w:hAnsi="Times New Roman" w:eastAsia="仿宋_GB2312" w:cs="Times New Roman"/>
                <w:color w:val="auto"/>
                <w:kern w:val="0"/>
                <w:sz w:val="16"/>
                <w:szCs w:val="16"/>
                <w:highlight w:val="none"/>
              </w:rPr>
            </w:pPr>
          </w:p>
        </w:tc>
      </w:tr>
    </w:tbl>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pStyle w:val="2"/>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w:t>
      </w:r>
      <w:r>
        <w:rPr>
          <w:rFonts w:hint="default" w:ascii="Times New Roman" w:hAnsi="Times New Roman" w:eastAsia="宋体" w:cs="Times New Roman"/>
          <w:i w:val="0"/>
          <w:color w:val="auto"/>
          <w:kern w:val="0"/>
          <w:sz w:val="20"/>
          <w:szCs w:val="20"/>
          <w:highlight w:val="none"/>
          <w:u w:val="none"/>
          <w:lang w:eastAsia="zh-CN" w:bidi="ar"/>
        </w:rPr>
        <w:t>8</w:t>
      </w:r>
    </w:p>
    <w:p>
      <w:pPr>
        <w:widowControl/>
        <w:jc w:val="center"/>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lang w:val="en-US" w:eastAsia="zh-CN"/>
        </w:rPr>
        <w:t>政府性基金预算支出</w:t>
      </w:r>
      <w:r>
        <w:rPr>
          <w:rFonts w:hint="default" w:ascii="Times New Roman" w:hAnsi="Times New Roman" w:eastAsia="仿宋_GB2312" w:cs="Times New Roman"/>
          <w:b/>
          <w:color w:val="auto"/>
          <w:kern w:val="0"/>
          <w:sz w:val="32"/>
          <w:szCs w:val="32"/>
          <w:highlight w:val="none"/>
        </w:rPr>
        <w:t>情况表</w:t>
      </w:r>
    </w:p>
    <w:p>
      <w:pPr>
        <w:widowControl/>
        <w:spacing w:line="280" w:lineRule="exact"/>
        <w:outlineLvl w:val="1"/>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687"/>
        <w:gridCol w:w="656"/>
        <w:gridCol w:w="2357"/>
        <w:gridCol w:w="1374"/>
        <w:gridCol w:w="1055"/>
        <w:gridCol w:w="1102"/>
        <w:gridCol w:w="1398"/>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lang w:val="en-US" w:eastAsia="zh-CN"/>
              </w:rPr>
              <w:t>科</w:t>
            </w:r>
            <w:r>
              <w:rPr>
                <w:rFonts w:hint="default" w:ascii="Times New Roman" w:hAnsi="Times New Roman" w:eastAsia="仿宋_GB2312" w:cs="Times New Roman"/>
                <w:b/>
                <w:bCs/>
                <w:color w:val="auto"/>
                <w:kern w:val="0"/>
                <w:sz w:val="24"/>
                <w:highlight w:val="none"/>
              </w:rPr>
              <w:t xml:space="preserve">  目</w:t>
            </w:r>
          </w:p>
        </w:tc>
        <w:tc>
          <w:tcPr>
            <w:tcW w:w="4929" w:type="dxa"/>
            <w:gridSpan w:val="4"/>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szCs w:val="24"/>
                <w:highlight w:val="none"/>
                <w:lang w:val="en-US" w:eastAsia="zh-CN"/>
              </w:rPr>
              <w:t>政府性基金预算</w:t>
            </w:r>
            <w:r>
              <w:rPr>
                <w:rFonts w:hint="default" w:ascii="Times New Roman" w:hAnsi="Times New Roman" w:eastAsia="仿宋_GB2312" w:cs="Times New Roman"/>
                <w:b/>
                <w:bCs/>
                <w:color w:val="auto"/>
                <w:kern w:val="0"/>
                <w:sz w:val="24"/>
                <w:highlight w:val="none"/>
              </w:rPr>
              <w:t>支出</w:t>
            </w:r>
          </w:p>
        </w:tc>
      </w:tr>
      <w:tr>
        <w:tblPrEx>
          <w:tblCellMar>
            <w:top w:w="0" w:type="dxa"/>
            <w:left w:w="108" w:type="dxa"/>
            <w:bottom w:w="0" w:type="dxa"/>
            <w:right w:w="108" w:type="dxa"/>
          </w:tblCellMar>
        </w:tblPrEx>
        <w:trPr>
          <w:trHeight w:val="792" w:hRule="atLeast"/>
        </w:trPr>
        <w:tc>
          <w:tcPr>
            <w:tcW w:w="1928"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eastAsia="zh-CN"/>
              </w:rPr>
            </w:pPr>
            <w:r>
              <w:rPr>
                <w:rFonts w:hint="default" w:ascii="Times New Roman" w:hAnsi="Times New Roman" w:eastAsia="仿宋_GB2312" w:cs="Times New Roman"/>
                <w:b/>
                <w:bCs/>
                <w:color w:val="auto"/>
                <w:kern w:val="0"/>
                <w:sz w:val="20"/>
                <w:szCs w:val="20"/>
                <w:highlight w:val="none"/>
              </w:rPr>
              <w:t>科目</w:t>
            </w:r>
            <w:r>
              <w:rPr>
                <w:rFonts w:hint="default" w:ascii="Times New Roman" w:hAnsi="Times New Roman" w:eastAsia="仿宋_GB2312" w:cs="Times New Roman"/>
                <w:b/>
                <w:bCs/>
                <w:color w:val="auto"/>
                <w:kern w:val="0"/>
                <w:sz w:val="20"/>
                <w:szCs w:val="20"/>
                <w:highlight w:val="none"/>
                <w:lang w:val="en-US" w:eastAsia="zh-CN"/>
              </w:rPr>
              <w:t>代码</w:t>
            </w:r>
          </w:p>
        </w:tc>
        <w:tc>
          <w:tcPr>
            <w:tcW w:w="2357" w:type="dxa"/>
            <w:vMerge w:val="restart"/>
            <w:tcBorders>
              <w:top w:val="nil"/>
              <w:left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科目名称</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vMerge w:val="restart"/>
            <w:tcBorders>
              <w:top w:val="nil"/>
              <w:left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合计</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157" w:type="dxa"/>
            <w:gridSpan w:val="2"/>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基本支出</w:t>
            </w:r>
          </w:p>
        </w:tc>
        <w:tc>
          <w:tcPr>
            <w:tcW w:w="1398" w:type="dxa"/>
            <w:vMerge w:val="restart"/>
            <w:tcBorders>
              <w:top w:val="nil"/>
              <w:left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项目支出</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9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类</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款</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vMerge w:val="continue"/>
            <w:tcBorders>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c>
          <w:tcPr>
            <w:tcW w:w="1374" w:type="dxa"/>
            <w:vMerge w:val="continue"/>
            <w:tcBorders>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c>
          <w:tcPr>
            <w:tcW w:w="1055"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lang w:val="en-US" w:eastAsia="zh-CN"/>
              </w:rPr>
              <w:t>人员经费</w:t>
            </w:r>
          </w:p>
        </w:tc>
        <w:tc>
          <w:tcPr>
            <w:tcW w:w="1102"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lang w:val="en-US" w:eastAsia="zh-CN"/>
              </w:rPr>
              <w:t>公用经费</w:t>
            </w:r>
          </w:p>
        </w:tc>
        <w:tc>
          <w:tcPr>
            <w:tcW w:w="1398" w:type="dxa"/>
            <w:vMerge w:val="continue"/>
            <w:tcBorders>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r>
      <w:tr>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47"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cs="Times New Roman"/>
                <w:color w:val="auto"/>
                <w:kern w:val="0"/>
                <w:sz w:val="24"/>
                <w:highlight w:val="none"/>
              </w:rPr>
            </w:pP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lang w:val="en-US" w:eastAsia="zh-CN"/>
              </w:rPr>
            </w:pPr>
            <w:r>
              <w:rPr>
                <w:rFonts w:hint="default" w:ascii="Times New Roman" w:hAnsi="Times New Roman" w:eastAsia="仿宋_GB2312" w:cs="Times New Roman"/>
                <w:color w:val="auto"/>
                <w:kern w:val="0"/>
                <w:sz w:val="24"/>
                <w:highlight w:val="none"/>
                <w:lang w:val="en-US" w:eastAsia="zh-CN"/>
              </w:rPr>
              <w:t>总  计</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p>
        </w:tc>
      </w:tr>
    </w:tbl>
    <w:p>
      <w:pPr>
        <w:widowControl/>
        <w:spacing w:line="280" w:lineRule="exact"/>
        <w:outlineLvl w:val="1"/>
        <w:rPr>
          <w:rFonts w:hint="default" w:ascii="Times New Roman" w:hAnsi="Times New Roman" w:eastAsia="仿宋_GB2312" w:cs="Times New Roman"/>
          <w:b/>
          <w:color w:val="auto"/>
          <w:kern w:val="0"/>
          <w:sz w:val="28"/>
          <w:szCs w:val="32"/>
          <w:highlight w:val="none"/>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r>
        <w:rPr>
          <w:rFonts w:hint="default" w:ascii="Times New Roman" w:hAnsi="Times New Roman" w:eastAsia="仿宋_GB2312" w:cs="Times New Roman"/>
          <w:b/>
          <w:color w:val="auto"/>
          <w:kern w:val="0"/>
          <w:sz w:val="28"/>
          <w:szCs w:val="32"/>
          <w:highlight w:val="none"/>
          <w:lang w:val="en-US" w:eastAsia="zh-CN"/>
        </w:rPr>
        <w:t>乌鲁木齐市第127中学单位202</w:t>
      </w:r>
      <w:r>
        <w:rPr>
          <w:rFonts w:hint="eastAsia" w:eastAsia="仿宋_GB2312" w:cs="Times New Roman"/>
          <w:b/>
          <w:color w:val="auto"/>
          <w:kern w:val="0"/>
          <w:sz w:val="28"/>
          <w:szCs w:val="32"/>
          <w:highlight w:val="none"/>
          <w:lang w:val="en-US" w:eastAsia="zh-CN"/>
        </w:rPr>
        <w:t>6</w:t>
      </w:r>
      <w:r>
        <w:rPr>
          <w:rFonts w:hint="default" w:ascii="Times New Roman" w:hAnsi="Times New Roman" w:eastAsia="仿宋_GB2312" w:cs="Times New Roman"/>
          <w:b/>
          <w:color w:val="auto"/>
          <w:kern w:val="0"/>
          <w:sz w:val="28"/>
          <w:szCs w:val="32"/>
          <w:highlight w:val="none"/>
          <w:lang w:val="en-US" w:eastAsia="zh-CN"/>
        </w:rPr>
        <w:t>年没有使用政府性基金预算拨款安排的支出，政府性基金预算支出情况表为空表。</w:t>
      </w: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仿宋_GB2312" w:cs="Times New Roman"/>
          <w:b/>
          <w:color w:val="auto"/>
          <w:kern w:val="0"/>
          <w:sz w:val="28"/>
          <w:szCs w:val="32"/>
          <w:highlight w:val="none"/>
          <w:lang w:val="en-US"/>
        </w:rPr>
      </w:pPr>
      <w:r>
        <w:rPr>
          <w:rFonts w:hint="default" w:ascii="Times New Roman" w:hAnsi="Times New Roman" w:eastAsia="宋体" w:cs="Times New Roman"/>
          <w:i w:val="0"/>
          <w:color w:val="auto"/>
          <w:kern w:val="0"/>
          <w:sz w:val="20"/>
          <w:szCs w:val="20"/>
          <w:highlight w:val="none"/>
          <w:u w:val="none"/>
          <w:lang w:val="en-US" w:eastAsia="zh-CN" w:bidi="ar"/>
        </w:rPr>
        <w:t>表</w:t>
      </w:r>
      <w:r>
        <w:rPr>
          <w:rFonts w:hint="default" w:ascii="Times New Roman" w:hAnsi="Times New Roman" w:cs="Times New Roman"/>
          <w:i w:val="0"/>
          <w:color w:val="auto"/>
          <w:kern w:val="0"/>
          <w:sz w:val="20"/>
          <w:szCs w:val="20"/>
          <w:highlight w:val="none"/>
          <w:u w:val="none"/>
          <w:lang w:val="en-US" w:eastAsia="zh-CN" w:bidi="ar"/>
        </w:rPr>
        <w:t>9</w:t>
      </w:r>
    </w:p>
    <w:p>
      <w:pPr>
        <w:widowControl/>
        <w:jc w:val="center"/>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lang w:val="en-US" w:eastAsia="zh-CN"/>
        </w:rPr>
        <w:t>国有资本经营预算支出</w:t>
      </w:r>
      <w:r>
        <w:rPr>
          <w:rFonts w:hint="default" w:ascii="Times New Roman" w:hAnsi="Times New Roman" w:eastAsia="仿宋_GB2312" w:cs="Times New Roman"/>
          <w:b/>
          <w:color w:val="auto"/>
          <w:kern w:val="0"/>
          <w:sz w:val="32"/>
          <w:szCs w:val="32"/>
          <w:highlight w:val="none"/>
        </w:rPr>
        <w:t>情况表</w:t>
      </w:r>
    </w:p>
    <w:p>
      <w:pPr>
        <w:widowControl/>
        <w:spacing w:line="280" w:lineRule="exact"/>
        <w:outlineLvl w:val="1"/>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687"/>
        <w:gridCol w:w="656"/>
        <w:gridCol w:w="2357"/>
        <w:gridCol w:w="1374"/>
        <w:gridCol w:w="1055"/>
        <w:gridCol w:w="1102"/>
        <w:gridCol w:w="1398"/>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highlight w:val="none"/>
                <w:lang w:val="en-US" w:eastAsia="zh-CN"/>
              </w:rPr>
              <w:t>科</w:t>
            </w:r>
            <w:r>
              <w:rPr>
                <w:rFonts w:hint="default" w:ascii="Times New Roman" w:hAnsi="Times New Roman" w:eastAsia="仿宋_GB2312" w:cs="Times New Roman"/>
                <w:b/>
                <w:bCs/>
                <w:color w:val="auto"/>
                <w:kern w:val="0"/>
                <w:sz w:val="24"/>
                <w:highlight w:val="none"/>
              </w:rPr>
              <w:t xml:space="preserve">  目</w:t>
            </w:r>
          </w:p>
        </w:tc>
        <w:tc>
          <w:tcPr>
            <w:tcW w:w="4929" w:type="dxa"/>
            <w:gridSpan w:val="4"/>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4"/>
                <w:highlight w:val="none"/>
              </w:rPr>
            </w:pPr>
            <w:r>
              <w:rPr>
                <w:rFonts w:hint="default" w:ascii="Times New Roman" w:hAnsi="Times New Roman" w:eastAsia="仿宋_GB2312" w:cs="Times New Roman"/>
                <w:b/>
                <w:bCs/>
                <w:color w:val="auto"/>
                <w:kern w:val="0"/>
                <w:sz w:val="24"/>
                <w:szCs w:val="24"/>
                <w:highlight w:val="none"/>
                <w:lang w:val="en-US" w:eastAsia="zh-CN"/>
              </w:rPr>
              <w:t>国有资本经营预算</w:t>
            </w:r>
            <w:r>
              <w:rPr>
                <w:rFonts w:hint="default" w:ascii="Times New Roman" w:hAnsi="Times New Roman" w:eastAsia="仿宋_GB2312" w:cs="Times New Roman"/>
                <w:b/>
                <w:bCs/>
                <w:color w:val="auto"/>
                <w:kern w:val="0"/>
                <w:sz w:val="24"/>
                <w:highlight w:val="none"/>
              </w:rPr>
              <w:t>支出</w:t>
            </w:r>
          </w:p>
        </w:tc>
      </w:tr>
      <w:tr>
        <w:tblPrEx>
          <w:tblCellMar>
            <w:top w:w="0" w:type="dxa"/>
            <w:left w:w="108" w:type="dxa"/>
            <w:bottom w:w="0" w:type="dxa"/>
            <w:right w:w="108" w:type="dxa"/>
          </w:tblCellMar>
        </w:tblPrEx>
        <w:trPr>
          <w:trHeight w:val="792" w:hRule="atLeast"/>
        </w:trPr>
        <w:tc>
          <w:tcPr>
            <w:tcW w:w="1928"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eastAsia="zh-CN"/>
              </w:rPr>
            </w:pPr>
            <w:r>
              <w:rPr>
                <w:rFonts w:hint="default" w:ascii="Times New Roman" w:hAnsi="Times New Roman" w:eastAsia="仿宋_GB2312" w:cs="Times New Roman"/>
                <w:b/>
                <w:bCs/>
                <w:color w:val="auto"/>
                <w:kern w:val="0"/>
                <w:sz w:val="20"/>
                <w:szCs w:val="20"/>
                <w:highlight w:val="none"/>
              </w:rPr>
              <w:t>科目</w:t>
            </w:r>
            <w:r>
              <w:rPr>
                <w:rFonts w:hint="default" w:ascii="Times New Roman" w:hAnsi="Times New Roman" w:eastAsia="仿宋_GB2312" w:cs="Times New Roman"/>
                <w:b/>
                <w:bCs/>
                <w:color w:val="auto"/>
                <w:kern w:val="0"/>
                <w:sz w:val="20"/>
                <w:szCs w:val="20"/>
                <w:highlight w:val="none"/>
                <w:lang w:val="en-US" w:eastAsia="zh-CN"/>
              </w:rPr>
              <w:t>代码</w:t>
            </w:r>
          </w:p>
        </w:tc>
        <w:tc>
          <w:tcPr>
            <w:tcW w:w="2357" w:type="dxa"/>
            <w:vMerge w:val="restart"/>
            <w:tcBorders>
              <w:top w:val="nil"/>
              <w:left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科目名称</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vMerge w:val="restart"/>
            <w:tcBorders>
              <w:top w:val="nil"/>
              <w:left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合计</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157" w:type="dxa"/>
            <w:gridSpan w:val="2"/>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基本支出</w:t>
            </w:r>
          </w:p>
        </w:tc>
        <w:tc>
          <w:tcPr>
            <w:tcW w:w="1398" w:type="dxa"/>
            <w:vMerge w:val="restart"/>
            <w:tcBorders>
              <w:top w:val="nil"/>
              <w:left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项目支出</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312"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类</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款</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p>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w:t>
            </w:r>
          </w:p>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vMerge w:val="continue"/>
            <w:tcBorders>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c>
          <w:tcPr>
            <w:tcW w:w="1374" w:type="dxa"/>
            <w:vMerge w:val="continue"/>
            <w:tcBorders>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c>
          <w:tcPr>
            <w:tcW w:w="1055"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lang w:val="en-US" w:eastAsia="zh-CN"/>
              </w:rPr>
              <w:t>人员经费</w:t>
            </w:r>
            <w:r>
              <w:rPr>
                <w:rFonts w:hint="default" w:ascii="Times New Roman" w:hAnsi="Times New Roman" w:eastAsia="仿宋_GB2312" w:cs="Times New Roman"/>
                <w:b/>
                <w:bCs/>
                <w:color w:val="auto"/>
                <w:kern w:val="0"/>
                <w:sz w:val="20"/>
                <w:szCs w:val="20"/>
                <w:highlight w:val="none"/>
              </w:rPr>
              <w:t>　</w:t>
            </w:r>
          </w:p>
        </w:tc>
        <w:tc>
          <w:tcPr>
            <w:tcW w:w="1102"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both"/>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lang w:val="en-US" w:eastAsia="zh-CN"/>
              </w:rPr>
              <w:t>公用经费</w:t>
            </w:r>
          </w:p>
        </w:tc>
        <w:tc>
          <w:tcPr>
            <w:tcW w:w="1398" w:type="dxa"/>
            <w:vMerge w:val="continue"/>
            <w:tcBorders>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b/>
                <w:bCs/>
                <w:color w:val="auto"/>
                <w:kern w:val="0"/>
                <w:sz w:val="20"/>
                <w:szCs w:val="20"/>
                <w:highlight w:val="none"/>
              </w:rPr>
            </w:pPr>
          </w:p>
        </w:tc>
      </w:tr>
      <w:tr>
        <w:tblPrEx>
          <w:tblCellMar>
            <w:top w:w="0" w:type="dxa"/>
            <w:left w:w="108" w:type="dxa"/>
            <w:bottom w:w="0" w:type="dxa"/>
            <w:right w:w="108" w:type="dxa"/>
          </w:tblCellMar>
        </w:tblPrEx>
        <w:trPr>
          <w:trHeight w:val="510" w:hRule="atLeast"/>
        </w:trPr>
        <w:tc>
          <w:tcPr>
            <w:tcW w:w="585" w:type="dxa"/>
            <w:tcBorders>
              <w:top w:val="single" w:color="auto" w:sz="4" w:space="0"/>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single" w:color="auto" w:sz="4" w:space="0"/>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color w:val="auto"/>
                <w:kern w:val="0"/>
                <w:sz w:val="24"/>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b/>
                <w:bCs/>
                <w:color w:val="auto"/>
                <w:kern w:val="0"/>
                <w:sz w:val="32"/>
                <w:szCs w:val="32"/>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b/>
                <w:bCs/>
                <w:color w:val="auto"/>
                <w:kern w:val="0"/>
                <w:sz w:val="32"/>
                <w:szCs w:val="32"/>
                <w:highlight w:val="none"/>
              </w:rPr>
            </w:pPr>
            <w:r>
              <w:rPr>
                <w:rFonts w:hint="default" w:ascii="Times New Roman" w:hAnsi="Times New Roman" w:eastAsia="仿宋_GB2312" w:cs="Times New Roman"/>
                <w:b/>
                <w:bCs/>
                <w:color w:val="auto"/>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87"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 w:val="24"/>
                <w:highlight w:val="none"/>
              </w:rPr>
              <w:t>　</w:t>
            </w:r>
          </w:p>
        </w:tc>
        <w:tc>
          <w:tcPr>
            <w:tcW w:w="656" w:type="dxa"/>
            <w:tcBorders>
              <w:top w:val="nil"/>
              <w:left w:val="nil"/>
              <w:bottom w:val="single" w:color="auto" w:sz="4" w:space="0"/>
              <w:right w:val="single" w:color="auto" w:sz="4" w:space="0"/>
            </w:tcBorders>
            <w:noWrap w:val="0"/>
            <w:vAlign w:val="center"/>
          </w:tcPr>
          <w:p>
            <w:pPr>
              <w:widowControl/>
              <w:spacing w:line="280" w:lineRule="exact"/>
              <w:jc w:val="lef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2357" w:type="dxa"/>
            <w:tcBorders>
              <w:top w:val="nil"/>
              <w:left w:val="nil"/>
              <w:bottom w:val="single" w:color="auto" w:sz="4" w:space="0"/>
              <w:right w:val="single" w:color="auto" w:sz="4" w:space="0"/>
            </w:tcBorders>
            <w:noWrap w:val="0"/>
            <w:vAlign w:val="center"/>
          </w:tcPr>
          <w:p>
            <w:pPr>
              <w:widowControl/>
              <w:spacing w:line="280" w:lineRule="exact"/>
              <w:jc w:val="center"/>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b/>
                <w:bCs/>
                <w:color w:val="auto"/>
                <w:kern w:val="0"/>
                <w:sz w:val="20"/>
                <w:szCs w:val="20"/>
                <w:highlight w:val="none"/>
                <w:lang w:val="en-US" w:eastAsia="zh-CN"/>
              </w:rPr>
              <w:t>总</w:t>
            </w:r>
            <w:r>
              <w:rPr>
                <w:rFonts w:hint="default" w:ascii="Times New Roman" w:hAnsi="Times New Roman" w:eastAsia="仿宋_GB2312" w:cs="Times New Roman"/>
                <w:b/>
                <w:bCs/>
                <w:color w:val="auto"/>
                <w:kern w:val="0"/>
                <w:sz w:val="20"/>
                <w:szCs w:val="20"/>
                <w:highlight w:val="none"/>
              </w:rPr>
              <w:t xml:space="preserve">  计</w:t>
            </w:r>
          </w:p>
        </w:tc>
        <w:tc>
          <w:tcPr>
            <w:tcW w:w="1374"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c>
          <w:tcPr>
            <w:tcW w:w="1055"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102" w:type="dxa"/>
            <w:tcBorders>
              <w:top w:val="nil"/>
              <w:left w:val="single" w:color="auto" w:sz="4" w:space="0"/>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p>
        </w:tc>
        <w:tc>
          <w:tcPr>
            <w:tcW w:w="1398" w:type="dxa"/>
            <w:tcBorders>
              <w:top w:val="nil"/>
              <w:left w:val="nil"/>
              <w:bottom w:val="single" w:color="auto" w:sz="4" w:space="0"/>
              <w:right w:val="single" w:color="auto" w:sz="4" w:space="0"/>
            </w:tcBorders>
            <w:noWrap w:val="0"/>
            <w:vAlign w:val="center"/>
          </w:tcPr>
          <w:p>
            <w:pPr>
              <w:widowControl/>
              <w:spacing w:line="28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　</w:t>
            </w:r>
          </w:p>
        </w:tc>
      </w:tr>
    </w:tbl>
    <w:p>
      <w:pPr>
        <w:keepNext w:val="0"/>
        <w:keepLines w:val="0"/>
        <w:widowControl/>
        <w:suppressLineNumbers w:val="0"/>
        <w:spacing w:line="280" w:lineRule="exact"/>
        <w:jc w:val="left"/>
        <w:textAlignment w:val="auto"/>
        <w:outlineLvl w:val="1"/>
        <w:rPr>
          <w:rFonts w:hint="eastAsia" w:ascii="仿宋_GB2312" w:hAnsi="宋体" w:eastAsia="仿宋_GB2312" w:cs="Times New Roman"/>
          <w:b w:val="0"/>
          <w:bCs/>
          <w:color w:val="auto"/>
          <w:kern w:val="0"/>
          <w:sz w:val="28"/>
          <w:szCs w:val="32"/>
          <w:highlight w:val="none"/>
          <w:lang w:eastAsia="zh-CN"/>
        </w:rPr>
      </w:pPr>
    </w:p>
    <w:p>
      <w:pPr>
        <w:keepNext w:val="0"/>
        <w:keepLines w:val="0"/>
        <w:widowControl/>
        <w:suppressLineNumbers w:val="0"/>
        <w:spacing w:line="280" w:lineRule="exact"/>
        <w:jc w:val="left"/>
        <w:textAlignment w:val="auto"/>
        <w:outlineLvl w:val="1"/>
        <w:rPr>
          <w:rFonts w:hint="eastAsia" w:ascii="仿宋_GB2312" w:hAnsi="宋体" w:eastAsia="仿宋_GB2312" w:cs="Times New Roman"/>
          <w:b/>
          <w:bCs w:val="0"/>
          <w:i w:val="0"/>
          <w:color w:val="auto"/>
          <w:kern w:val="0"/>
          <w:sz w:val="28"/>
          <w:szCs w:val="32"/>
          <w:highlight w:val="none"/>
          <w:u w:val="none"/>
          <w:lang w:val="en-US" w:eastAsia="zh-CN" w:bidi="ar"/>
        </w:rPr>
      </w:pPr>
      <w:r>
        <w:rPr>
          <w:rFonts w:hint="eastAsia" w:ascii="仿宋_GB2312" w:hAnsi="宋体" w:eastAsia="仿宋_GB2312" w:cs="Times New Roman"/>
          <w:b/>
          <w:bCs w:val="0"/>
          <w:color w:val="auto"/>
          <w:kern w:val="0"/>
          <w:sz w:val="28"/>
          <w:szCs w:val="32"/>
          <w:highlight w:val="none"/>
          <w:lang w:eastAsia="zh-CN"/>
        </w:rPr>
        <w:t>乌鲁木齐市第</w:t>
      </w:r>
      <w:r>
        <w:rPr>
          <w:rFonts w:hint="eastAsia" w:ascii="仿宋_GB2312" w:hAnsi="宋体" w:eastAsia="仿宋_GB2312" w:cs="Times New Roman"/>
          <w:b/>
          <w:bCs w:val="0"/>
          <w:color w:val="auto"/>
          <w:kern w:val="0"/>
          <w:sz w:val="28"/>
          <w:szCs w:val="32"/>
          <w:highlight w:val="none"/>
          <w:lang w:val="en-US" w:eastAsia="zh-CN"/>
        </w:rPr>
        <w:t>127中学</w:t>
      </w:r>
      <w:r>
        <w:rPr>
          <w:rFonts w:hint="eastAsia" w:ascii="仿宋_GB2312" w:hAnsi="宋体" w:eastAsia="仿宋_GB2312" w:cs="Times New Roman"/>
          <w:b/>
          <w:bCs w:val="0"/>
          <w:color w:val="auto"/>
          <w:kern w:val="0"/>
          <w:sz w:val="28"/>
          <w:szCs w:val="32"/>
          <w:highlight w:val="none"/>
          <w:lang w:eastAsia="zh-CN"/>
        </w:rPr>
        <w:t>单位</w:t>
      </w:r>
      <w:r>
        <w:rPr>
          <w:rFonts w:hint="eastAsia" w:ascii="仿宋_GB2312" w:hAnsi="宋体" w:eastAsia="仿宋_GB2312" w:cs="Times New Roman"/>
          <w:b/>
          <w:bCs w:val="0"/>
          <w:color w:val="auto"/>
          <w:kern w:val="0"/>
          <w:sz w:val="28"/>
          <w:szCs w:val="32"/>
          <w:highlight w:val="none"/>
          <w:lang w:val="en-US" w:eastAsia="zh-CN"/>
        </w:rPr>
        <w:t>2026</w:t>
      </w:r>
      <w:r>
        <w:rPr>
          <w:rFonts w:hint="eastAsia" w:ascii="仿宋_GB2312" w:hAnsi="宋体" w:eastAsia="仿宋_GB2312" w:cs="Times New Roman"/>
          <w:b/>
          <w:bCs w:val="0"/>
          <w:color w:val="auto"/>
          <w:kern w:val="0"/>
          <w:sz w:val="28"/>
          <w:szCs w:val="32"/>
          <w:highlight w:val="none"/>
          <w:lang w:eastAsia="zh-CN"/>
        </w:rPr>
        <w:t>年没有使用国有资本经营预算拨款安排的支出，国有资本经营预算支出情况表为空表。</w:t>
      </w:r>
    </w:p>
    <w:p>
      <w:pPr>
        <w:pStyle w:val="2"/>
        <w:rPr>
          <w:rFonts w:hint="default" w:ascii="Times New Roman" w:hAnsi="Times New Roman" w:cs="Times New Roman"/>
          <w:color w:val="auto"/>
          <w:highlight w:val="none"/>
          <w:lang w:val="en-US" w:eastAsia="zh-CN"/>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eastAsia="zh-CN" w:bidi="ar"/>
        </w:rPr>
      </w:pPr>
      <w:r>
        <w:rPr>
          <w:rFonts w:hint="default" w:ascii="Times New Roman" w:hAnsi="Times New Roman" w:eastAsia="宋体" w:cs="Times New Roman"/>
          <w:i w:val="0"/>
          <w:color w:val="auto"/>
          <w:kern w:val="0"/>
          <w:sz w:val="20"/>
          <w:szCs w:val="20"/>
          <w:highlight w:val="none"/>
          <w:u w:val="none"/>
          <w:lang w:val="en-US" w:eastAsia="zh-CN" w:bidi="ar"/>
        </w:rPr>
        <w:t>表</w:t>
      </w:r>
      <w:r>
        <w:rPr>
          <w:rFonts w:hint="default" w:ascii="Times New Roman" w:hAnsi="Times New Roman" w:eastAsia="宋体" w:cs="Times New Roman"/>
          <w:i w:val="0"/>
          <w:color w:val="auto"/>
          <w:kern w:val="0"/>
          <w:sz w:val="20"/>
          <w:szCs w:val="20"/>
          <w:highlight w:val="none"/>
          <w:u w:val="none"/>
          <w:lang w:eastAsia="zh-CN" w:bidi="ar"/>
        </w:rPr>
        <w:t>10</w:t>
      </w:r>
    </w:p>
    <w:p>
      <w:pPr>
        <w:widowControl/>
        <w:jc w:val="center"/>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lang w:val="en-US" w:eastAsia="zh-Hans"/>
        </w:rPr>
        <w:t>财政拨款</w:t>
      </w:r>
      <w:r>
        <w:rPr>
          <w:rFonts w:hint="default" w:ascii="Times New Roman" w:hAnsi="Times New Roman" w:eastAsia="仿宋_GB2312" w:cs="Times New Roman"/>
          <w:b/>
          <w:color w:val="auto"/>
          <w:kern w:val="0"/>
          <w:sz w:val="32"/>
          <w:szCs w:val="32"/>
          <w:highlight w:val="none"/>
        </w:rPr>
        <w:t>“三公”经费支出情况表</w:t>
      </w:r>
    </w:p>
    <w:p>
      <w:pPr>
        <w:widowControl/>
        <w:jc w:val="both"/>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单位：万元</w:t>
      </w:r>
    </w:p>
    <w:tbl>
      <w:tblPr>
        <w:tblStyle w:val="7"/>
        <w:tblW w:w="8920" w:type="dxa"/>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3"/>
        <w:gridCol w:w="1018"/>
        <w:gridCol w:w="1364"/>
        <w:gridCol w:w="1090"/>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vMerge w:val="restart"/>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lang w:eastAsia="zh-CN"/>
              </w:rPr>
              <w:t>“</w:t>
            </w:r>
            <w:r>
              <w:rPr>
                <w:rFonts w:hint="default" w:ascii="Times New Roman" w:hAnsi="Times New Roman" w:eastAsia="仿宋_GB2312" w:cs="Times New Roman"/>
                <w:b/>
                <w:color w:val="auto"/>
                <w:kern w:val="0"/>
                <w:sz w:val="28"/>
                <w:szCs w:val="32"/>
                <w:highlight w:val="none"/>
                <w:vertAlign w:val="baseline"/>
              </w:rPr>
              <w:t>三公</w:t>
            </w:r>
            <w:r>
              <w:rPr>
                <w:rFonts w:hint="default" w:ascii="Times New Roman" w:hAnsi="Times New Roman" w:eastAsia="仿宋_GB2312" w:cs="Times New Roman"/>
                <w:b/>
                <w:color w:val="auto"/>
                <w:kern w:val="0"/>
                <w:sz w:val="28"/>
                <w:szCs w:val="32"/>
                <w:highlight w:val="none"/>
                <w:vertAlign w:val="baseline"/>
                <w:lang w:eastAsia="zh-CN"/>
              </w:rPr>
              <w:t>”</w:t>
            </w:r>
            <w:r>
              <w:rPr>
                <w:rFonts w:hint="default" w:ascii="Times New Roman" w:hAnsi="Times New Roman" w:eastAsia="仿宋_GB2312" w:cs="Times New Roman"/>
                <w:b/>
                <w:color w:val="auto"/>
                <w:kern w:val="0"/>
                <w:sz w:val="28"/>
                <w:szCs w:val="32"/>
                <w:highlight w:val="none"/>
                <w:vertAlign w:val="baseline"/>
                <w:lang w:val="en-US" w:eastAsia="zh-CN"/>
              </w:rPr>
              <w:t>经费</w:t>
            </w:r>
            <w:r>
              <w:rPr>
                <w:rFonts w:hint="default" w:ascii="Times New Roman" w:hAnsi="Times New Roman" w:eastAsia="仿宋_GB2312" w:cs="Times New Roman"/>
                <w:b/>
                <w:color w:val="auto"/>
                <w:kern w:val="0"/>
                <w:sz w:val="28"/>
                <w:szCs w:val="32"/>
                <w:highlight w:val="none"/>
                <w:vertAlign w:val="baseline"/>
              </w:rPr>
              <w:t>支出内容</w:t>
            </w:r>
          </w:p>
        </w:tc>
        <w:tc>
          <w:tcPr>
            <w:tcW w:w="1018" w:type="dxa"/>
            <w:vMerge w:val="restart"/>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lang w:val="en-US" w:eastAsia="zh-Hans"/>
              </w:rPr>
            </w:pPr>
            <w:r>
              <w:rPr>
                <w:rFonts w:hint="default" w:ascii="Times New Roman" w:hAnsi="Times New Roman" w:eastAsia="仿宋_GB2312" w:cs="Times New Roman"/>
                <w:b/>
                <w:color w:val="auto"/>
                <w:kern w:val="0"/>
                <w:sz w:val="28"/>
                <w:szCs w:val="32"/>
                <w:highlight w:val="none"/>
                <w:vertAlign w:val="baseline"/>
                <w:lang w:val="en-US" w:eastAsia="zh-Hans"/>
              </w:rPr>
              <w:t>合计</w:t>
            </w:r>
          </w:p>
        </w:tc>
        <w:tc>
          <w:tcPr>
            <w:tcW w:w="3929" w:type="dxa"/>
            <w:gridSpan w:val="3"/>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lang w:val="en-US" w:eastAsia="zh-Hans"/>
              </w:rPr>
            </w:pPr>
            <w:r>
              <w:rPr>
                <w:rFonts w:hint="default" w:ascii="Times New Roman" w:hAnsi="Times New Roman" w:eastAsia="仿宋_GB2312" w:cs="Times New Roman"/>
                <w:b/>
                <w:color w:val="auto"/>
                <w:kern w:val="0"/>
                <w:sz w:val="28"/>
                <w:szCs w:val="32"/>
                <w:highlight w:val="none"/>
                <w:vertAlign w:val="baseline"/>
                <w:lang w:val="en-US" w:eastAsia="zh-Hans"/>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vMerge w:val="continue"/>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018" w:type="dxa"/>
            <w:vMerge w:val="continue"/>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364" w:type="dxa"/>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lang w:val="en-US" w:eastAsia="zh-Hans"/>
              </w:rPr>
            </w:pPr>
            <w:r>
              <w:rPr>
                <w:rFonts w:hint="default" w:ascii="Times New Roman" w:hAnsi="Times New Roman" w:eastAsia="仿宋_GB2312" w:cs="Times New Roman"/>
                <w:b/>
                <w:color w:val="auto"/>
                <w:kern w:val="0"/>
                <w:sz w:val="28"/>
                <w:szCs w:val="32"/>
                <w:highlight w:val="none"/>
                <w:vertAlign w:val="baseline"/>
                <w:lang w:val="en-US" w:eastAsia="zh-Hans"/>
              </w:rPr>
              <w:t>一般公共预算</w:t>
            </w:r>
          </w:p>
        </w:tc>
        <w:tc>
          <w:tcPr>
            <w:tcW w:w="1090" w:type="dxa"/>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rPr>
              <w:t>政府性基金</w:t>
            </w:r>
          </w:p>
        </w:tc>
        <w:tc>
          <w:tcPr>
            <w:tcW w:w="1475" w:type="dxa"/>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rPr>
              <w:t>国有资本经营预算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lang w:eastAsia="zh-CN"/>
              </w:rPr>
            </w:pPr>
            <w:r>
              <w:rPr>
                <w:rFonts w:hint="default" w:ascii="Times New Roman" w:hAnsi="Times New Roman" w:eastAsia="仿宋_GB2312" w:cs="Times New Roman"/>
                <w:b/>
                <w:color w:val="auto"/>
                <w:kern w:val="0"/>
                <w:sz w:val="28"/>
                <w:szCs w:val="32"/>
                <w:highlight w:val="none"/>
                <w:vertAlign w:val="baseline"/>
                <w:lang w:eastAsia="zh-CN"/>
              </w:rPr>
              <w:t>因公出国（境）费用</w:t>
            </w:r>
          </w:p>
        </w:tc>
        <w:tc>
          <w:tcPr>
            <w:tcW w:w="1018"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364"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090"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475"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rPr>
              <w:t>公务接待费</w:t>
            </w:r>
          </w:p>
        </w:tc>
        <w:tc>
          <w:tcPr>
            <w:tcW w:w="1018"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364"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090"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475"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noWrap w:val="0"/>
            <w:vAlign w:val="center"/>
          </w:tcPr>
          <w:p>
            <w:pPr>
              <w:widowControl/>
              <w:jc w:val="center"/>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rPr>
              <w:t>公务用车购置及运行</w:t>
            </w:r>
            <w:r>
              <w:rPr>
                <w:rFonts w:hint="default" w:ascii="Times New Roman" w:hAnsi="Times New Roman" w:eastAsia="仿宋_GB2312" w:cs="Times New Roman"/>
                <w:b/>
                <w:color w:val="auto"/>
                <w:kern w:val="0"/>
                <w:sz w:val="28"/>
                <w:szCs w:val="32"/>
                <w:highlight w:val="none"/>
                <w:vertAlign w:val="baseline"/>
                <w:lang w:val="en-US" w:eastAsia="zh-CN"/>
              </w:rPr>
              <w:t>维护</w:t>
            </w:r>
            <w:r>
              <w:rPr>
                <w:rFonts w:hint="default" w:ascii="Times New Roman" w:hAnsi="Times New Roman" w:eastAsia="仿宋_GB2312" w:cs="Times New Roman"/>
                <w:b/>
                <w:color w:val="auto"/>
                <w:kern w:val="0"/>
                <w:sz w:val="28"/>
                <w:szCs w:val="32"/>
                <w:highlight w:val="none"/>
                <w:vertAlign w:val="baseline"/>
              </w:rPr>
              <w:t>费</w:t>
            </w:r>
          </w:p>
          <w:p>
            <w:pPr>
              <w:widowControl/>
              <w:jc w:val="center"/>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rPr>
              <w:t>（小计）</w:t>
            </w:r>
          </w:p>
        </w:tc>
        <w:tc>
          <w:tcPr>
            <w:tcW w:w="1018"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r>
              <w:rPr>
                <w:rFonts w:hint="eastAsia" w:eastAsia="仿宋_GB2312" w:cs="Times New Roman"/>
                <w:b/>
                <w:color w:val="auto"/>
                <w:kern w:val="0"/>
                <w:sz w:val="28"/>
                <w:szCs w:val="32"/>
                <w:highlight w:val="none"/>
                <w:vertAlign w:val="baseline"/>
                <w:lang w:val="en-US" w:eastAsia="zh-CN"/>
              </w:rPr>
              <w:t>2.46</w:t>
            </w:r>
          </w:p>
        </w:tc>
        <w:tc>
          <w:tcPr>
            <w:tcW w:w="1364"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lang w:val="en-US" w:eastAsia="zh-CN"/>
              </w:rPr>
            </w:pPr>
            <w:r>
              <w:rPr>
                <w:rFonts w:hint="eastAsia" w:eastAsia="仿宋_GB2312" w:cs="Times New Roman"/>
                <w:b/>
                <w:color w:val="auto"/>
                <w:kern w:val="0"/>
                <w:sz w:val="28"/>
                <w:szCs w:val="32"/>
                <w:highlight w:val="none"/>
                <w:vertAlign w:val="baseline"/>
                <w:lang w:val="en-US" w:eastAsia="zh-CN"/>
              </w:rPr>
              <w:t>2.46</w:t>
            </w:r>
          </w:p>
        </w:tc>
        <w:tc>
          <w:tcPr>
            <w:tcW w:w="1090" w:type="dxa"/>
            <w:noWrap w:val="0"/>
            <w:vAlign w:val="top"/>
          </w:tcPr>
          <w:p>
            <w:pPr>
              <w:widowControl/>
              <w:outlineLvl w:val="1"/>
              <w:rPr>
                <w:rFonts w:hint="eastAsia" w:ascii="Times New Roman" w:hAnsi="Times New Roman" w:eastAsia="仿宋_GB2312" w:cs="Times New Roman"/>
                <w:b/>
                <w:color w:val="auto"/>
                <w:kern w:val="0"/>
                <w:sz w:val="28"/>
                <w:szCs w:val="32"/>
                <w:highlight w:val="none"/>
                <w:vertAlign w:val="baseline"/>
                <w:lang w:val="en-US" w:eastAsia="zh-CN"/>
              </w:rPr>
            </w:pPr>
          </w:p>
        </w:tc>
        <w:tc>
          <w:tcPr>
            <w:tcW w:w="1475" w:type="dxa"/>
            <w:noWrap w:val="0"/>
            <w:vAlign w:val="top"/>
          </w:tcPr>
          <w:p>
            <w:pPr>
              <w:widowControl/>
              <w:outlineLvl w:val="1"/>
              <w:rPr>
                <w:rFonts w:hint="eastAsia" w:ascii="Times New Roman" w:hAnsi="Times New Roman" w:eastAsia="仿宋_GB2312" w:cs="Times New Roman"/>
                <w:b/>
                <w:color w:val="auto"/>
                <w:kern w:val="0"/>
                <w:sz w:val="28"/>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noWrap w:val="0"/>
            <w:vAlign w:val="top"/>
          </w:tcPr>
          <w:p>
            <w:pPr>
              <w:widowControl/>
              <w:ind w:firstLine="281" w:firstLineChars="100"/>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rPr>
              <w:t>其中：公务用车购置费</w:t>
            </w:r>
          </w:p>
        </w:tc>
        <w:tc>
          <w:tcPr>
            <w:tcW w:w="1018"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364"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090"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c>
          <w:tcPr>
            <w:tcW w:w="1475"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rPr>
              <w:t xml:space="preserve">        公务用车运行</w:t>
            </w:r>
            <w:r>
              <w:rPr>
                <w:rFonts w:hint="default" w:ascii="Times New Roman" w:hAnsi="Times New Roman" w:eastAsia="仿宋_GB2312" w:cs="Times New Roman"/>
                <w:b/>
                <w:color w:val="auto"/>
                <w:kern w:val="0"/>
                <w:sz w:val="28"/>
                <w:szCs w:val="32"/>
                <w:highlight w:val="none"/>
                <w:vertAlign w:val="baseline"/>
                <w:lang w:val="en-US" w:eastAsia="zh-CN"/>
              </w:rPr>
              <w:t>维护</w:t>
            </w:r>
            <w:r>
              <w:rPr>
                <w:rFonts w:hint="default" w:ascii="Times New Roman" w:hAnsi="Times New Roman" w:eastAsia="仿宋_GB2312" w:cs="Times New Roman"/>
                <w:b/>
                <w:color w:val="auto"/>
                <w:kern w:val="0"/>
                <w:sz w:val="28"/>
                <w:szCs w:val="32"/>
                <w:highlight w:val="none"/>
                <w:vertAlign w:val="baseline"/>
              </w:rPr>
              <w:t>费</w:t>
            </w:r>
          </w:p>
        </w:tc>
        <w:tc>
          <w:tcPr>
            <w:tcW w:w="1018"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r>
              <w:rPr>
                <w:rFonts w:hint="eastAsia" w:eastAsia="仿宋_GB2312" w:cs="Times New Roman"/>
                <w:b/>
                <w:color w:val="auto"/>
                <w:kern w:val="0"/>
                <w:sz w:val="28"/>
                <w:szCs w:val="32"/>
                <w:highlight w:val="none"/>
                <w:vertAlign w:val="baseline"/>
                <w:lang w:val="en-US" w:eastAsia="zh-CN"/>
              </w:rPr>
              <w:t>2.46</w:t>
            </w:r>
          </w:p>
        </w:tc>
        <w:tc>
          <w:tcPr>
            <w:tcW w:w="1364" w:type="dxa"/>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rPr>
            </w:pPr>
            <w:r>
              <w:rPr>
                <w:rFonts w:hint="eastAsia" w:eastAsia="仿宋_GB2312" w:cs="Times New Roman"/>
                <w:b/>
                <w:color w:val="auto"/>
                <w:kern w:val="0"/>
                <w:sz w:val="28"/>
                <w:szCs w:val="32"/>
                <w:highlight w:val="none"/>
                <w:vertAlign w:val="baseline"/>
                <w:lang w:val="en-US" w:eastAsia="zh-CN"/>
              </w:rPr>
              <w:t>2.46</w:t>
            </w:r>
          </w:p>
        </w:tc>
        <w:tc>
          <w:tcPr>
            <w:tcW w:w="1090" w:type="dxa"/>
            <w:noWrap w:val="0"/>
            <w:vAlign w:val="top"/>
          </w:tcPr>
          <w:p>
            <w:pPr>
              <w:widowControl/>
              <w:outlineLvl w:val="1"/>
              <w:rPr>
                <w:rFonts w:hint="eastAsia" w:ascii="Times New Roman" w:hAnsi="Times New Roman" w:eastAsia="仿宋_GB2312" w:cs="Times New Roman"/>
                <w:b/>
                <w:color w:val="auto"/>
                <w:kern w:val="0"/>
                <w:sz w:val="28"/>
                <w:szCs w:val="32"/>
                <w:highlight w:val="none"/>
                <w:vertAlign w:val="baseline"/>
                <w:lang w:val="en-US" w:eastAsia="zh-CN"/>
              </w:rPr>
            </w:pPr>
          </w:p>
        </w:tc>
        <w:tc>
          <w:tcPr>
            <w:tcW w:w="1475" w:type="dxa"/>
            <w:noWrap w:val="0"/>
            <w:vAlign w:val="top"/>
          </w:tcPr>
          <w:p>
            <w:pPr>
              <w:widowControl/>
              <w:outlineLvl w:val="1"/>
              <w:rPr>
                <w:rFonts w:hint="eastAsia" w:ascii="Times New Roman" w:hAnsi="Times New Roman" w:eastAsia="仿宋_GB2312" w:cs="Times New Roman"/>
                <w:b/>
                <w:color w:val="auto"/>
                <w:kern w:val="0"/>
                <w:sz w:val="28"/>
                <w:szCs w:val="32"/>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3" w:type="dxa"/>
            <w:noWrap w:val="0"/>
            <w:vAlign w:val="top"/>
          </w:tcPr>
          <w:p>
            <w:pPr>
              <w:widowControl/>
              <w:jc w:val="center"/>
              <w:outlineLvl w:val="1"/>
              <w:rPr>
                <w:rFonts w:hint="default" w:ascii="Times New Roman" w:hAnsi="Times New Roman" w:eastAsia="仿宋_GB2312" w:cs="Times New Roman"/>
                <w:b/>
                <w:color w:val="auto"/>
                <w:kern w:val="0"/>
                <w:sz w:val="28"/>
                <w:szCs w:val="32"/>
                <w:highlight w:val="none"/>
                <w:vertAlign w:val="baseline"/>
              </w:rPr>
            </w:pPr>
            <w:r>
              <w:rPr>
                <w:rFonts w:hint="default" w:ascii="Times New Roman" w:hAnsi="Times New Roman" w:eastAsia="仿宋_GB2312" w:cs="Times New Roman"/>
                <w:b/>
                <w:color w:val="auto"/>
                <w:kern w:val="0"/>
                <w:sz w:val="28"/>
                <w:szCs w:val="32"/>
                <w:highlight w:val="none"/>
                <w:vertAlign w:val="baseline"/>
                <w:lang w:val="en-US" w:eastAsia="zh-CN"/>
              </w:rPr>
              <w:t>总</w:t>
            </w:r>
            <w:r>
              <w:rPr>
                <w:rFonts w:hint="default" w:ascii="Times New Roman" w:hAnsi="Times New Roman" w:eastAsia="仿宋_GB2312" w:cs="Times New Roman"/>
                <w:b/>
                <w:color w:val="auto"/>
                <w:kern w:val="0"/>
                <w:sz w:val="28"/>
                <w:szCs w:val="32"/>
                <w:highlight w:val="none"/>
                <w:vertAlign w:val="baseline"/>
              </w:rPr>
              <w:t>计</w:t>
            </w:r>
          </w:p>
        </w:tc>
        <w:tc>
          <w:tcPr>
            <w:tcW w:w="1018" w:type="dxa"/>
            <w:shd w:val="clear" w:color="auto" w:fill="auto"/>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lang w:val="en-US" w:eastAsia="zh-CN" w:bidi="ar-SA"/>
              </w:rPr>
            </w:pPr>
            <w:r>
              <w:rPr>
                <w:rFonts w:hint="eastAsia" w:eastAsia="仿宋_GB2312" w:cs="Times New Roman"/>
                <w:b/>
                <w:color w:val="auto"/>
                <w:kern w:val="0"/>
                <w:sz w:val="28"/>
                <w:szCs w:val="32"/>
                <w:highlight w:val="none"/>
                <w:vertAlign w:val="baseline"/>
                <w:lang w:val="en-US" w:eastAsia="zh-CN"/>
              </w:rPr>
              <w:t>2.46</w:t>
            </w:r>
          </w:p>
        </w:tc>
        <w:tc>
          <w:tcPr>
            <w:tcW w:w="1364" w:type="dxa"/>
            <w:shd w:val="clear" w:color="auto" w:fill="auto"/>
            <w:noWrap w:val="0"/>
            <w:vAlign w:val="top"/>
          </w:tcPr>
          <w:p>
            <w:pPr>
              <w:widowControl/>
              <w:outlineLvl w:val="1"/>
              <w:rPr>
                <w:rFonts w:hint="default" w:ascii="Times New Roman" w:hAnsi="Times New Roman" w:eastAsia="仿宋_GB2312" w:cs="Times New Roman"/>
                <w:b/>
                <w:color w:val="auto"/>
                <w:kern w:val="0"/>
                <w:sz w:val="28"/>
                <w:szCs w:val="32"/>
                <w:highlight w:val="none"/>
                <w:vertAlign w:val="baseline"/>
                <w:lang w:val="en-US" w:eastAsia="zh-CN" w:bidi="ar-SA"/>
              </w:rPr>
            </w:pPr>
            <w:r>
              <w:rPr>
                <w:rFonts w:hint="eastAsia" w:eastAsia="仿宋_GB2312" w:cs="Times New Roman"/>
                <w:b/>
                <w:color w:val="auto"/>
                <w:kern w:val="0"/>
                <w:sz w:val="28"/>
                <w:szCs w:val="32"/>
                <w:highlight w:val="none"/>
                <w:vertAlign w:val="baseline"/>
                <w:lang w:val="en-US" w:eastAsia="zh-CN"/>
              </w:rPr>
              <w:t>2.46</w:t>
            </w:r>
          </w:p>
        </w:tc>
        <w:tc>
          <w:tcPr>
            <w:tcW w:w="1090" w:type="dxa"/>
            <w:noWrap w:val="0"/>
            <w:vAlign w:val="top"/>
          </w:tcPr>
          <w:p>
            <w:pPr>
              <w:widowControl/>
              <w:outlineLvl w:val="1"/>
              <w:rPr>
                <w:rFonts w:hint="eastAsia" w:ascii="Times New Roman" w:hAnsi="Times New Roman" w:eastAsia="仿宋_GB2312" w:cs="Times New Roman"/>
                <w:b/>
                <w:color w:val="auto"/>
                <w:kern w:val="0"/>
                <w:sz w:val="28"/>
                <w:szCs w:val="32"/>
                <w:highlight w:val="none"/>
                <w:vertAlign w:val="baseline"/>
                <w:lang w:val="en-US" w:eastAsia="zh-CN"/>
              </w:rPr>
            </w:pPr>
          </w:p>
        </w:tc>
        <w:tc>
          <w:tcPr>
            <w:tcW w:w="1475" w:type="dxa"/>
            <w:noWrap w:val="0"/>
            <w:vAlign w:val="top"/>
          </w:tcPr>
          <w:p>
            <w:pPr>
              <w:widowControl/>
              <w:outlineLvl w:val="1"/>
              <w:rPr>
                <w:rFonts w:hint="eastAsia" w:ascii="Times New Roman" w:hAnsi="Times New Roman" w:eastAsia="仿宋_GB2312" w:cs="Times New Roman"/>
                <w:b/>
                <w:color w:val="auto"/>
                <w:kern w:val="0"/>
                <w:sz w:val="28"/>
                <w:szCs w:val="32"/>
                <w:highlight w:val="none"/>
                <w:vertAlign w:val="baseline"/>
                <w:lang w:val="en-US" w:eastAsia="zh-CN"/>
              </w:rPr>
            </w:pPr>
          </w:p>
        </w:tc>
      </w:tr>
    </w:tbl>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spacing w:line="600" w:lineRule="exact"/>
        <w:ind w:left="640"/>
        <w:jc w:val="center"/>
        <w:rPr>
          <w:rFonts w:hint="default" w:ascii="Times New Roman" w:hAnsi="Times New Roman" w:eastAsia="仿宋" w:cs="Times New Roman"/>
          <w:bCs/>
          <w:color w:val="auto"/>
          <w:kern w:val="0"/>
          <w:sz w:val="28"/>
          <w:szCs w:val="28"/>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宋体" w:cs="Times New Roman"/>
          <w:i w:val="0"/>
          <w:color w:val="auto"/>
          <w:kern w:val="0"/>
          <w:sz w:val="20"/>
          <w:szCs w:val="20"/>
          <w:highlight w:val="none"/>
          <w:u w:val="none"/>
          <w:lang w:val="en-US" w:eastAsia="zh-CN" w:bidi="ar"/>
        </w:rPr>
      </w:pPr>
    </w:p>
    <w:p>
      <w:pPr>
        <w:keepNext w:val="0"/>
        <w:keepLines w:val="0"/>
        <w:widowControl/>
        <w:suppressLineNumbers w:val="0"/>
        <w:jc w:val="left"/>
        <w:textAlignment w:val="bottom"/>
        <w:rPr>
          <w:rFonts w:hint="default" w:ascii="Times New Roman" w:hAnsi="Times New Roman" w:eastAsia="仿宋" w:cs="Times New Roman"/>
          <w:bCs/>
          <w:color w:val="auto"/>
          <w:kern w:val="0"/>
          <w:sz w:val="28"/>
          <w:szCs w:val="28"/>
          <w:highlight w:val="none"/>
        </w:rPr>
      </w:pPr>
      <w:r>
        <w:rPr>
          <w:rFonts w:hint="default" w:ascii="Times New Roman" w:hAnsi="Times New Roman" w:eastAsia="宋体" w:cs="Times New Roman"/>
          <w:i w:val="0"/>
          <w:color w:val="auto"/>
          <w:kern w:val="0"/>
          <w:sz w:val="20"/>
          <w:szCs w:val="20"/>
          <w:highlight w:val="none"/>
          <w:u w:val="none"/>
          <w:lang w:val="en-US" w:eastAsia="zh-CN" w:bidi="ar"/>
        </w:rPr>
        <w:t>表</w:t>
      </w:r>
      <w:r>
        <w:rPr>
          <w:rFonts w:hint="default" w:ascii="Times New Roman" w:hAnsi="Times New Roman" w:eastAsia="宋体" w:cs="Times New Roman"/>
          <w:i w:val="0"/>
          <w:color w:val="auto"/>
          <w:kern w:val="0"/>
          <w:sz w:val="20"/>
          <w:szCs w:val="20"/>
          <w:highlight w:val="none"/>
          <w:u w:val="none"/>
          <w:lang w:eastAsia="zh-CN" w:bidi="ar"/>
        </w:rPr>
        <w:t>1</w:t>
      </w:r>
      <w:r>
        <w:rPr>
          <w:rFonts w:hint="default" w:ascii="Times New Roman" w:hAnsi="Times New Roman" w:cs="Times New Roman"/>
          <w:i w:val="0"/>
          <w:color w:val="auto"/>
          <w:kern w:val="0"/>
          <w:sz w:val="20"/>
          <w:szCs w:val="20"/>
          <w:highlight w:val="none"/>
          <w:u w:val="none"/>
          <w:lang w:val="en-US" w:eastAsia="zh-CN" w:bidi="ar"/>
        </w:rPr>
        <w:t>1</w:t>
      </w:r>
    </w:p>
    <w:p>
      <w:pPr>
        <w:spacing w:line="600" w:lineRule="exact"/>
        <w:jc w:val="center"/>
        <w:rPr>
          <w:rFonts w:hint="default" w:ascii="Times New Roman" w:hAnsi="Times New Roman" w:eastAsia="仿宋_GB2312" w:cs="Times New Roman"/>
          <w:b/>
          <w:color w:val="auto"/>
          <w:kern w:val="0"/>
          <w:sz w:val="32"/>
          <w:szCs w:val="32"/>
          <w:highlight w:val="none"/>
          <w:lang w:val="en-US" w:eastAsia="zh-Hans"/>
        </w:rPr>
      </w:pPr>
      <w:r>
        <w:rPr>
          <w:rFonts w:hint="default" w:ascii="Times New Roman" w:hAnsi="Times New Roman" w:eastAsia="仿宋_GB2312" w:cs="Times New Roman"/>
          <w:b/>
          <w:color w:val="auto"/>
          <w:kern w:val="0"/>
          <w:sz w:val="32"/>
          <w:szCs w:val="32"/>
          <w:highlight w:val="none"/>
          <w:lang w:val="en-US" w:eastAsia="zh-Hans"/>
        </w:rPr>
        <w:t>财政拨款委托业务费支出情况表</w:t>
      </w:r>
    </w:p>
    <w:p>
      <w:pPr>
        <w:widowControl/>
        <w:jc w:val="left"/>
        <w:rPr>
          <w:rFonts w:hint="default" w:ascii="Times New Roman" w:hAnsi="Times New Roman" w:eastAsia="仿宋_GB2312" w:cs="Times New Roman"/>
          <w:b/>
          <w:color w:val="auto"/>
          <w:kern w:val="0"/>
          <w:sz w:val="32"/>
          <w:szCs w:val="32"/>
          <w:highlight w:val="none"/>
          <w:lang w:val="en-US" w:eastAsia="zh-Hans"/>
        </w:rPr>
      </w:pPr>
      <w:r>
        <w:rPr>
          <w:rFonts w:hint="default" w:ascii="Times New Roman" w:hAnsi="Times New Roman" w:eastAsia="仿宋_GB2312" w:cs="Times New Roman"/>
          <w:color w:val="auto"/>
          <w:kern w:val="0"/>
          <w:sz w:val="24"/>
          <w:highlight w:val="none"/>
        </w:rPr>
        <w:t>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w:t>
      </w:r>
      <w:r>
        <w:rPr>
          <w:rFonts w:hint="default" w:ascii="Times New Roman" w:hAnsi="Times New Roman" w:eastAsia="仿宋_GB2312" w:cs="Times New Roman"/>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 xml:space="preserve">  单位：万元</w:t>
      </w:r>
    </w:p>
    <w:tbl>
      <w:tblPr>
        <w:tblStyle w:val="7"/>
        <w:tblpPr w:leftFromText="180" w:rightFromText="180" w:vertAnchor="text" w:horzAnchor="page" w:tblpX="1644" w:tblpY="190"/>
        <w:tblOverlap w:val="never"/>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1447"/>
        <w:gridCol w:w="1826"/>
        <w:gridCol w:w="1636"/>
        <w:gridCol w:w="2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22"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项目名称</w:t>
            </w:r>
          </w:p>
        </w:tc>
        <w:tc>
          <w:tcPr>
            <w:tcW w:w="1447"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合计</w:t>
            </w:r>
          </w:p>
        </w:tc>
        <w:tc>
          <w:tcPr>
            <w:tcW w:w="5763" w:type="dxa"/>
            <w:gridSpan w:val="3"/>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资金来源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22" w:type="dxa"/>
            <w:vMerge w:val="continue"/>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p>
        </w:tc>
        <w:tc>
          <w:tcPr>
            <w:tcW w:w="1447" w:type="dxa"/>
            <w:vMerge w:val="continue"/>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826" w:type="dxa"/>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一般公共预算</w:t>
            </w:r>
          </w:p>
        </w:tc>
        <w:tc>
          <w:tcPr>
            <w:tcW w:w="1636" w:type="dxa"/>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政府性基金</w:t>
            </w:r>
          </w:p>
        </w:tc>
        <w:tc>
          <w:tcPr>
            <w:tcW w:w="2301" w:type="dxa"/>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国有资本经营预算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622"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447"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82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63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2301"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622"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447"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82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63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2301"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622"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447"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82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63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2301"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622"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r>
              <w:rPr>
                <w:rFonts w:hint="default" w:ascii="Times New Roman" w:hAnsi="Times New Roman" w:eastAsia="仿宋_GB2312" w:cs="Times New Roman"/>
                <w:b/>
                <w:bCs/>
                <w:color w:val="auto"/>
                <w:kern w:val="0"/>
                <w:sz w:val="20"/>
                <w:szCs w:val="20"/>
                <w:highlight w:val="none"/>
                <w:lang w:val="en-US" w:eastAsia="zh-CN"/>
              </w:rPr>
              <w:t>总计</w:t>
            </w:r>
          </w:p>
        </w:tc>
        <w:tc>
          <w:tcPr>
            <w:tcW w:w="1447"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lang w:val="en-US" w:eastAsia="zh-CN"/>
              </w:rPr>
            </w:pPr>
          </w:p>
        </w:tc>
        <w:tc>
          <w:tcPr>
            <w:tcW w:w="182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lang w:val="en-US" w:eastAsia="zh-CN"/>
              </w:rPr>
            </w:pPr>
          </w:p>
        </w:tc>
        <w:tc>
          <w:tcPr>
            <w:tcW w:w="1636"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lang w:val="en-US" w:eastAsia="zh-CN"/>
              </w:rPr>
            </w:pPr>
          </w:p>
        </w:tc>
        <w:tc>
          <w:tcPr>
            <w:tcW w:w="2301"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lang w:val="en-US" w:eastAsia="zh-CN"/>
              </w:rPr>
            </w:pPr>
          </w:p>
        </w:tc>
      </w:tr>
    </w:tbl>
    <w:p>
      <w:pPr>
        <w:keepNext w:val="0"/>
        <w:keepLines w:val="0"/>
        <w:widowControl/>
        <w:suppressLineNumbers w:val="0"/>
        <w:spacing w:line="280" w:lineRule="exact"/>
        <w:jc w:val="left"/>
        <w:textAlignment w:val="auto"/>
        <w:outlineLvl w:val="1"/>
        <w:rPr>
          <w:rFonts w:hint="default" w:ascii="Times New Roman" w:hAnsi="Times New Roman" w:eastAsia="仿宋_GB2312" w:cs="Times New Roman"/>
          <w:color w:val="auto"/>
          <w:kern w:val="0"/>
          <w:sz w:val="32"/>
          <w:szCs w:val="32"/>
          <w:highlight w:val="none"/>
        </w:rPr>
      </w:pPr>
    </w:p>
    <w:p>
      <w:pPr>
        <w:keepNext w:val="0"/>
        <w:keepLines w:val="0"/>
        <w:widowControl/>
        <w:suppressLineNumbers w:val="0"/>
        <w:spacing w:line="280" w:lineRule="exact"/>
        <w:jc w:val="left"/>
        <w:textAlignment w:val="auto"/>
        <w:outlineLvl w:val="1"/>
        <w:rPr>
          <w:rFonts w:hint="default" w:ascii="仿宋_GB2312" w:hAnsi="宋体" w:eastAsia="仿宋_GB2312" w:cs="Times New Roman"/>
          <w:b/>
          <w:bCs w:val="0"/>
          <w:color w:val="auto"/>
          <w:kern w:val="0"/>
          <w:sz w:val="28"/>
          <w:szCs w:val="32"/>
          <w:highlight w:val="none"/>
          <w:lang w:eastAsia="zh-CN"/>
        </w:rPr>
        <w:sectPr>
          <w:footerReference r:id="rId7" w:type="default"/>
          <w:pgSz w:w="11906" w:h="16838"/>
          <w:pgMar w:top="2098" w:right="1531" w:bottom="1984" w:left="1531" w:header="851" w:footer="992" w:gutter="0"/>
          <w:pgBorders>
            <w:top w:val="none" w:sz="0" w:space="0"/>
            <w:left w:val="none" w:sz="0" w:space="0"/>
            <w:bottom w:val="none" w:sz="0" w:space="0"/>
            <w:right w:val="none" w:sz="0" w:space="0"/>
          </w:pgBorders>
          <w:pgNumType w:fmt="numberInDash" w:start="4"/>
          <w:cols w:space="720" w:num="1"/>
          <w:docGrid w:linePitch="312" w:charSpace="0"/>
        </w:sectPr>
      </w:pPr>
      <w:r>
        <w:rPr>
          <w:rFonts w:hint="default" w:ascii="仿宋_GB2312" w:hAnsi="宋体" w:eastAsia="仿宋_GB2312" w:cs="Times New Roman"/>
          <w:b/>
          <w:bCs w:val="0"/>
          <w:color w:val="auto"/>
          <w:kern w:val="0"/>
          <w:sz w:val="28"/>
          <w:szCs w:val="32"/>
          <w:highlight w:val="none"/>
          <w:lang w:eastAsia="zh-CN"/>
        </w:rPr>
        <w:t>乌鲁木齐市第127中学单位2026年没有委托业务费预算的支出，财政拨款委托业务费支出情况表为空表。</w:t>
      </w:r>
    </w:p>
    <w:p>
      <w:pPr>
        <w:widowControl/>
        <w:outlineLvl w:val="1"/>
        <w:rPr>
          <w:rFonts w:hint="default" w:ascii="Times New Roman" w:hAnsi="Times New Roman" w:eastAsia="仿宋_GB2312" w:cs="Times New Roman"/>
          <w:color w:val="auto"/>
          <w:kern w:val="0"/>
          <w:sz w:val="32"/>
          <w:szCs w:val="32"/>
          <w:highlight w:val="none"/>
        </w:rPr>
      </w:pPr>
      <w:r>
        <w:rPr>
          <w:rFonts w:hint="default" w:ascii="Times New Roman" w:hAnsi="Times New Roman" w:eastAsia="宋体" w:cs="Times New Roman"/>
          <w:i w:val="0"/>
          <w:color w:val="auto"/>
          <w:kern w:val="0"/>
          <w:sz w:val="20"/>
          <w:szCs w:val="20"/>
          <w:highlight w:val="none"/>
          <w:u w:val="none"/>
          <w:lang w:val="en-US" w:eastAsia="zh-CN" w:bidi="ar"/>
        </w:rPr>
        <w:t>表</w:t>
      </w:r>
      <w:r>
        <w:rPr>
          <w:rFonts w:hint="default" w:ascii="Times New Roman" w:hAnsi="Times New Roman" w:eastAsia="宋体" w:cs="Times New Roman"/>
          <w:i w:val="0"/>
          <w:color w:val="auto"/>
          <w:kern w:val="0"/>
          <w:sz w:val="20"/>
          <w:szCs w:val="20"/>
          <w:highlight w:val="none"/>
          <w:u w:val="none"/>
          <w:lang w:eastAsia="zh-CN" w:bidi="ar"/>
        </w:rPr>
        <w:t>1</w:t>
      </w:r>
      <w:r>
        <w:rPr>
          <w:rFonts w:hint="default" w:ascii="Times New Roman" w:hAnsi="Times New Roman" w:cs="Times New Roman"/>
          <w:i w:val="0"/>
          <w:color w:val="auto"/>
          <w:kern w:val="0"/>
          <w:sz w:val="20"/>
          <w:szCs w:val="20"/>
          <w:highlight w:val="none"/>
          <w:u w:val="none"/>
          <w:lang w:val="en-US" w:eastAsia="zh-CN" w:bidi="ar"/>
        </w:rPr>
        <w:t>2</w:t>
      </w:r>
    </w:p>
    <w:p>
      <w:pPr>
        <w:spacing w:line="600" w:lineRule="exact"/>
        <w:ind w:firstLine="2891" w:firstLineChars="900"/>
        <w:jc w:val="both"/>
        <w:rPr>
          <w:rFonts w:hint="default" w:ascii="Times New Roman" w:hAnsi="Times New Roman" w:eastAsia="仿宋_GB2312" w:cs="Times New Roman"/>
          <w:b/>
          <w:color w:val="auto"/>
          <w:kern w:val="0"/>
          <w:sz w:val="32"/>
          <w:szCs w:val="32"/>
          <w:highlight w:val="none"/>
          <w:lang w:val="en-US" w:eastAsia="zh-Hans"/>
        </w:rPr>
      </w:pPr>
      <w:r>
        <w:rPr>
          <w:rFonts w:hint="default" w:ascii="Times New Roman" w:hAnsi="Times New Roman" w:eastAsia="仿宋_GB2312" w:cs="Times New Roman"/>
          <w:b/>
          <w:color w:val="auto"/>
          <w:kern w:val="0"/>
          <w:sz w:val="32"/>
          <w:szCs w:val="32"/>
          <w:highlight w:val="none"/>
          <w:lang w:val="en-US" w:eastAsia="zh-Hans"/>
        </w:rPr>
        <w:t>上年结转</w:t>
      </w:r>
      <w:r>
        <w:rPr>
          <w:rFonts w:hint="default" w:ascii="Times New Roman" w:hAnsi="Times New Roman" w:eastAsia="仿宋_GB2312" w:cs="Times New Roman"/>
          <w:b/>
          <w:color w:val="auto"/>
          <w:kern w:val="0"/>
          <w:sz w:val="32"/>
          <w:szCs w:val="32"/>
          <w:highlight w:val="none"/>
          <w:lang w:val="en-US" w:eastAsia="zh-CN"/>
        </w:rPr>
        <w:t>结余</w:t>
      </w:r>
      <w:r>
        <w:rPr>
          <w:rFonts w:hint="default" w:ascii="Times New Roman" w:hAnsi="Times New Roman" w:eastAsia="仿宋_GB2312" w:cs="Times New Roman"/>
          <w:b/>
          <w:color w:val="auto"/>
          <w:kern w:val="0"/>
          <w:sz w:val="32"/>
          <w:szCs w:val="32"/>
          <w:highlight w:val="none"/>
          <w:lang w:val="en-US" w:eastAsia="zh-Hans"/>
        </w:rPr>
        <w:t>情况表</w:t>
      </w:r>
    </w:p>
    <w:p>
      <w:pPr>
        <w:spacing w:line="600" w:lineRule="exact"/>
        <w:ind w:firstLine="2891" w:firstLineChars="900"/>
        <w:jc w:val="both"/>
        <w:rPr>
          <w:rFonts w:hint="default" w:ascii="Times New Roman" w:hAnsi="Times New Roman" w:eastAsia="仿宋_GB2312" w:cs="Times New Roman"/>
          <w:b/>
          <w:color w:val="auto"/>
          <w:kern w:val="0"/>
          <w:sz w:val="32"/>
          <w:szCs w:val="32"/>
          <w:highlight w:val="none"/>
          <w:lang w:val="en-US" w:eastAsia="zh-Hans"/>
        </w:rPr>
      </w:pPr>
    </w:p>
    <w:p>
      <w:pPr>
        <w:spacing w:line="600" w:lineRule="exact"/>
        <w:jc w:val="both"/>
        <w:rPr>
          <w:rFonts w:hint="default" w:ascii="Times New Roman" w:hAnsi="Times New Roman" w:eastAsia="仿宋_GB2312" w:cs="Times New Roman"/>
          <w:b/>
          <w:color w:val="auto"/>
          <w:kern w:val="0"/>
          <w:sz w:val="32"/>
          <w:szCs w:val="32"/>
          <w:highlight w:val="none"/>
          <w:lang w:val="en-US" w:eastAsia="zh-Hans"/>
        </w:rPr>
      </w:pPr>
      <w:r>
        <w:rPr>
          <w:rFonts w:hint="default" w:ascii="Times New Roman" w:hAnsi="Times New Roman" w:eastAsia="仿宋_GB2312" w:cs="Times New Roman"/>
          <w:color w:val="auto"/>
          <w:kern w:val="0"/>
          <w:sz w:val="24"/>
          <w:highlight w:val="none"/>
        </w:rPr>
        <w:t>编制部门（单位）：编制单位：</w:t>
      </w:r>
      <w:r>
        <w:rPr>
          <w:rFonts w:hint="eastAsia" w:ascii="仿宋_GB2312" w:hAnsi="宋体" w:eastAsia="仿宋_GB2312"/>
          <w:color w:val="auto"/>
          <w:kern w:val="0"/>
          <w:sz w:val="24"/>
          <w:highlight w:val="none"/>
        </w:rPr>
        <w:t>乌鲁木齐市第127中学</w:t>
      </w:r>
      <w:r>
        <w:rPr>
          <w:rFonts w:hint="eastAsia" w:ascii="仿宋_GB2312" w:hAnsi="宋体" w:eastAsia="仿宋_GB2312"/>
          <w:color w:val="auto"/>
          <w:kern w:val="0"/>
          <w:sz w:val="24"/>
          <w:highlight w:val="none"/>
          <w:lang w:val="en-US" w:eastAsia="zh-CN"/>
        </w:rPr>
        <w:t xml:space="preserve">         </w:t>
      </w:r>
      <w:r>
        <w:rPr>
          <w:rFonts w:hint="default" w:ascii="Times New Roman" w:hAnsi="Times New Roman" w:eastAsia="仿宋_GB2312" w:cs="Times New Roman"/>
          <w:color w:val="auto"/>
          <w:kern w:val="0"/>
          <w:sz w:val="24"/>
          <w:highlight w:val="none"/>
        </w:rPr>
        <w:t>单位：万元</w:t>
      </w:r>
    </w:p>
    <w:tbl>
      <w:tblPr>
        <w:tblStyle w:val="7"/>
        <w:tblpPr w:leftFromText="180" w:rightFromText="180" w:vertAnchor="text" w:horzAnchor="page" w:tblpX="852" w:tblpY="190"/>
        <w:tblOverlap w:val="never"/>
        <w:tblW w:w="9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850"/>
        <w:gridCol w:w="1054"/>
        <w:gridCol w:w="890"/>
        <w:gridCol w:w="714"/>
        <w:gridCol w:w="1211"/>
        <w:gridCol w:w="797"/>
        <w:gridCol w:w="723"/>
        <w:gridCol w:w="881"/>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87"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项目</w:t>
            </w:r>
          </w:p>
        </w:tc>
        <w:tc>
          <w:tcPr>
            <w:tcW w:w="850"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合计</w:t>
            </w:r>
          </w:p>
        </w:tc>
        <w:tc>
          <w:tcPr>
            <w:tcW w:w="3869" w:type="dxa"/>
            <w:gridSpan w:val="4"/>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eastAsia="zh-CN"/>
              </w:rPr>
            </w:pPr>
            <w:r>
              <w:rPr>
                <w:rFonts w:hint="default" w:ascii="Times New Roman" w:hAnsi="Times New Roman" w:eastAsia="仿宋_GB2312" w:cs="Times New Roman"/>
                <w:b/>
                <w:bCs/>
                <w:color w:val="auto"/>
                <w:kern w:val="0"/>
                <w:sz w:val="20"/>
                <w:szCs w:val="20"/>
                <w:highlight w:val="none"/>
                <w:lang w:val="en-US" w:eastAsia="zh-CN"/>
              </w:rPr>
              <w:t>财政拨款</w:t>
            </w:r>
          </w:p>
        </w:tc>
        <w:tc>
          <w:tcPr>
            <w:tcW w:w="3612" w:type="dxa"/>
            <w:gridSpan w:val="4"/>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非财政拨款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87" w:type="dxa"/>
            <w:vMerge w:val="continue"/>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p>
        </w:tc>
        <w:tc>
          <w:tcPr>
            <w:tcW w:w="850" w:type="dxa"/>
            <w:vMerge w:val="continue"/>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054"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eastAsia="zh-CN"/>
              </w:rPr>
            </w:pPr>
            <w:r>
              <w:rPr>
                <w:rFonts w:hint="default" w:ascii="Times New Roman" w:hAnsi="Times New Roman" w:eastAsia="仿宋_GB2312" w:cs="Times New Roman"/>
                <w:b/>
                <w:bCs/>
                <w:color w:val="auto"/>
                <w:kern w:val="0"/>
                <w:sz w:val="20"/>
                <w:szCs w:val="20"/>
                <w:highlight w:val="none"/>
                <w:lang w:val="en-US" w:eastAsia="zh-CN"/>
              </w:rPr>
              <w:t>小计</w:t>
            </w:r>
          </w:p>
        </w:tc>
        <w:tc>
          <w:tcPr>
            <w:tcW w:w="1604" w:type="dxa"/>
            <w:gridSpan w:val="2"/>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基本支出</w:t>
            </w:r>
          </w:p>
        </w:tc>
        <w:tc>
          <w:tcPr>
            <w:tcW w:w="1211"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项目支出</w:t>
            </w:r>
          </w:p>
        </w:tc>
        <w:tc>
          <w:tcPr>
            <w:tcW w:w="797"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小计</w:t>
            </w:r>
          </w:p>
        </w:tc>
        <w:tc>
          <w:tcPr>
            <w:tcW w:w="1604" w:type="dxa"/>
            <w:gridSpan w:val="2"/>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基本支出</w:t>
            </w:r>
          </w:p>
        </w:tc>
        <w:tc>
          <w:tcPr>
            <w:tcW w:w="1211" w:type="dxa"/>
            <w:vMerge w:val="restart"/>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rPr>
            </w:pPr>
            <w:r>
              <w:rPr>
                <w:rFonts w:hint="default" w:ascii="Times New Roman" w:hAnsi="Times New Roman" w:eastAsia="仿宋_GB2312" w:cs="Times New Roman"/>
                <w:b/>
                <w:bCs/>
                <w:color w:val="auto"/>
                <w:kern w:val="0"/>
                <w:sz w:val="20"/>
                <w:szCs w:val="20"/>
                <w:highlight w:val="none"/>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87" w:type="dxa"/>
            <w:vMerge w:val="continue"/>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850" w:type="dxa"/>
            <w:vMerge w:val="continue"/>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1054" w:type="dxa"/>
            <w:vMerge w:val="continue"/>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890" w:type="dxa"/>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人员经费</w:t>
            </w:r>
          </w:p>
        </w:tc>
        <w:tc>
          <w:tcPr>
            <w:tcW w:w="714" w:type="dxa"/>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公用经费</w:t>
            </w:r>
          </w:p>
        </w:tc>
        <w:tc>
          <w:tcPr>
            <w:tcW w:w="1211" w:type="dxa"/>
            <w:vMerge w:val="continue"/>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797" w:type="dxa"/>
            <w:vMerge w:val="continue"/>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p>
        </w:tc>
        <w:tc>
          <w:tcPr>
            <w:tcW w:w="723" w:type="dxa"/>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人员经费</w:t>
            </w:r>
          </w:p>
        </w:tc>
        <w:tc>
          <w:tcPr>
            <w:tcW w:w="881" w:type="dxa"/>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r>
              <w:rPr>
                <w:rFonts w:hint="default" w:ascii="Times New Roman" w:hAnsi="Times New Roman" w:eastAsia="仿宋_GB2312" w:cs="Times New Roman"/>
                <w:b/>
                <w:bCs/>
                <w:color w:val="auto"/>
                <w:kern w:val="0"/>
                <w:sz w:val="20"/>
                <w:szCs w:val="20"/>
                <w:highlight w:val="none"/>
                <w:lang w:val="en-US" w:eastAsia="zh-CN"/>
              </w:rPr>
              <w:t>公用经费</w:t>
            </w:r>
          </w:p>
        </w:tc>
        <w:tc>
          <w:tcPr>
            <w:tcW w:w="1211" w:type="dxa"/>
            <w:vMerge w:val="continue"/>
            <w:noWrap w:val="0"/>
            <w:vAlign w:val="center"/>
          </w:tcPr>
          <w:p>
            <w:pPr>
              <w:widowControl/>
              <w:spacing w:line="280" w:lineRule="exact"/>
              <w:jc w:val="center"/>
              <w:rPr>
                <w:rFonts w:hint="default" w:ascii="Times New Roman" w:hAnsi="Times New Roman" w:eastAsia="仿宋_GB2312" w:cs="Times New Roman"/>
                <w:b/>
                <w:bCs/>
                <w:color w:val="auto"/>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Regular" w:hAnsi="Times New Roman Regular" w:eastAsia="宋体" w:cs="Times New Roman Regular"/>
                <w:b w:val="0"/>
                <w:bCs/>
                <w:color w:val="auto"/>
                <w:kern w:val="0"/>
                <w:sz w:val="22"/>
                <w:szCs w:val="22"/>
                <w:highlight w:val="none"/>
              </w:rPr>
            </w:pPr>
            <w:r>
              <w:rPr>
                <w:rFonts w:hint="default" w:ascii="Times New Roman Regular" w:hAnsi="Times New Roman Regular" w:eastAsia="宋体" w:cs="Times New Roman Regular"/>
                <w:b w:val="0"/>
                <w:bCs/>
                <w:color w:val="auto"/>
                <w:kern w:val="0"/>
                <w:sz w:val="22"/>
                <w:szCs w:val="22"/>
                <w:highlight w:val="none"/>
              </w:rPr>
              <w:t>2025年城乡义务教育补助经费</w:t>
            </w:r>
          </w:p>
        </w:tc>
        <w:tc>
          <w:tcPr>
            <w:tcW w:w="85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default" w:ascii="Times New Roman Regular" w:hAnsi="Times New Roman Regular" w:eastAsia="宋体" w:cs="Times New Roman Regular"/>
                <w:b w:val="0"/>
                <w:bCs/>
                <w:color w:val="auto"/>
                <w:kern w:val="0"/>
                <w:sz w:val="22"/>
                <w:szCs w:val="22"/>
                <w:highlight w:val="none"/>
                <w:lang w:val="en-US" w:eastAsia="zh-CN"/>
              </w:rPr>
              <w:t>105.21</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default" w:ascii="Times New Roman Regular" w:hAnsi="Times New Roman Regular" w:eastAsia="宋体" w:cs="Times New Roman Regular"/>
                <w:b w:val="0"/>
                <w:bCs/>
                <w:color w:val="auto"/>
                <w:kern w:val="0"/>
                <w:sz w:val="22"/>
                <w:szCs w:val="22"/>
                <w:highlight w:val="none"/>
                <w:lang w:val="en-US" w:eastAsia="zh-CN"/>
              </w:rPr>
              <w:t>105.21</w:t>
            </w:r>
          </w:p>
        </w:tc>
        <w:tc>
          <w:tcPr>
            <w:tcW w:w="890" w:type="dxa"/>
            <w:noWrap w:val="0"/>
            <w:vAlign w:val="center"/>
          </w:tcPr>
          <w:p>
            <w:pPr>
              <w:widowControl/>
              <w:spacing w:line="28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714" w:type="dxa"/>
            <w:noWrap w:val="0"/>
            <w:vAlign w:val="center"/>
          </w:tcPr>
          <w:p>
            <w:pPr>
              <w:widowControl/>
              <w:spacing w:line="28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default" w:ascii="Times New Roman Regular" w:hAnsi="Times New Roman Regular" w:eastAsia="宋体" w:cs="Times New Roman Regular"/>
                <w:b w:val="0"/>
                <w:bCs/>
                <w:color w:val="auto"/>
                <w:kern w:val="0"/>
                <w:sz w:val="22"/>
                <w:szCs w:val="22"/>
                <w:highlight w:val="none"/>
                <w:lang w:val="en-US" w:eastAsia="zh-CN"/>
              </w:rPr>
              <w:t>105.21</w:t>
            </w:r>
          </w:p>
        </w:tc>
        <w:tc>
          <w:tcPr>
            <w:tcW w:w="797"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Regular" w:hAnsi="Times New Roman Regular" w:eastAsia="宋体" w:cs="Times New Roman Regular"/>
                <w:b w:val="0"/>
                <w:bCs/>
                <w:color w:val="auto"/>
                <w:kern w:val="0"/>
                <w:sz w:val="22"/>
                <w:szCs w:val="22"/>
                <w:highlight w:val="none"/>
              </w:rPr>
            </w:pPr>
            <w:r>
              <w:rPr>
                <w:rFonts w:hint="default" w:ascii="Times New Roman Regular" w:hAnsi="Times New Roman Regular" w:eastAsia="宋体" w:cs="Times New Roman Regular"/>
                <w:b w:val="0"/>
                <w:bCs/>
                <w:color w:val="auto"/>
                <w:kern w:val="0"/>
                <w:sz w:val="22"/>
                <w:szCs w:val="22"/>
                <w:highlight w:val="none"/>
              </w:rPr>
              <w:t>体育、传统文化特色校经费</w:t>
            </w:r>
          </w:p>
        </w:tc>
        <w:tc>
          <w:tcPr>
            <w:tcW w:w="85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default" w:ascii="Times New Roman Regular" w:hAnsi="Times New Roman Regular" w:eastAsia="宋体" w:cs="Times New Roman Regular"/>
                <w:b w:val="0"/>
                <w:bCs/>
                <w:color w:val="auto"/>
                <w:kern w:val="0"/>
                <w:sz w:val="22"/>
                <w:szCs w:val="22"/>
                <w:highlight w:val="none"/>
                <w:lang w:val="en-US" w:eastAsia="zh-CN"/>
              </w:rPr>
              <w:t>13</w:t>
            </w:r>
            <w:r>
              <w:rPr>
                <w:rFonts w:hint="eastAsia" w:ascii="Times New Roman Regular" w:hAnsi="Times New Roman Regular" w:cs="Times New Roman Regular"/>
                <w:b w:val="0"/>
                <w:bCs/>
                <w:color w:val="auto"/>
                <w:kern w:val="0"/>
                <w:sz w:val="22"/>
                <w:szCs w:val="22"/>
                <w:highlight w:val="none"/>
                <w:lang w:val="en-US" w:eastAsia="zh-CN"/>
              </w:rPr>
              <w:t>.00</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default" w:ascii="Times New Roman Regular" w:hAnsi="Times New Roman Regular" w:eastAsia="宋体" w:cs="Times New Roman Regular"/>
                <w:b w:val="0"/>
                <w:bCs/>
                <w:color w:val="auto"/>
                <w:kern w:val="0"/>
                <w:sz w:val="22"/>
                <w:szCs w:val="22"/>
                <w:highlight w:val="none"/>
                <w:lang w:val="en-US" w:eastAsia="zh-CN"/>
              </w:rPr>
              <w:t>13</w:t>
            </w:r>
            <w:r>
              <w:rPr>
                <w:rFonts w:hint="eastAsia" w:ascii="Times New Roman Regular" w:hAnsi="Times New Roman Regular" w:cs="Times New Roman Regular"/>
                <w:b w:val="0"/>
                <w:bCs/>
                <w:color w:val="auto"/>
                <w:kern w:val="0"/>
                <w:sz w:val="22"/>
                <w:szCs w:val="22"/>
                <w:highlight w:val="none"/>
                <w:lang w:val="en-US" w:eastAsia="zh-CN"/>
              </w:rPr>
              <w:t>.00</w:t>
            </w: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default" w:ascii="Times New Roman Regular" w:hAnsi="Times New Roman Regular" w:eastAsia="宋体" w:cs="Times New Roman Regular"/>
                <w:b w:val="0"/>
                <w:bCs/>
                <w:color w:val="auto"/>
                <w:kern w:val="0"/>
                <w:sz w:val="22"/>
                <w:szCs w:val="22"/>
                <w:highlight w:val="none"/>
                <w:lang w:val="en-US" w:eastAsia="zh-CN"/>
              </w:rPr>
              <w:t>13</w:t>
            </w:r>
            <w:r>
              <w:rPr>
                <w:rFonts w:hint="eastAsia" w:ascii="Times New Roman Regular" w:hAnsi="Times New Roman Regular" w:cs="Times New Roman Regular"/>
                <w:b w:val="0"/>
                <w:bCs/>
                <w:color w:val="auto"/>
                <w:kern w:val="0"/>
                <w:sz w:val="22"/>
                <w:szCs w:val="22"/>
                <w:highlight w:val="none"/>
                <w:lang w:val="en-US" w:eastAsia="zh-CN"/>
              </w:rPr>
              <w:t>.00</w:t>
            </w:r>
          </w:p>
        </w:tc>
        <w:tc>
          <w:tcPr>
            <w:tcW w:w="797"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增资-通讯</w:t>
            </w:r>
          </w:p>
        </w:tc>
        <w:tc>
          <w:tcPr>
            <w:tcW w:w="85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r>
              <w:rPr>
                <w:rFonts w:hint="eastAsia" w:ascii="Times New Roman Regular" w:hAnsi="Times New Roman Regular" w:eastAsia="宋体" w:cs="Times New Roman Regular"/>
                <w:b w:val="0"/>
                <w:bCs/>
                <w:color w:val="auto"/>
                <w:kern w:val="0"/>
                <w:sz w:val="22"/>
                <w:szCs w:val="22"/>
                <w:highlight w:val="none"/>
                <w:lang w:val="en-US" w:eastAsia="zh-CN"/>
              </w:rPr>
              <w:t>29.06</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r>
              <w:rPr>
                <w:rFonts w:hint="eastAsia" w:ascii="Times New Roman Regular" w:hAnsi="Times New Roman Regular" w:eastAsia="宋体" w:cs="Times New Roman Regular"/>
                <w:b w:val="0"/>
                <w:bCs/>
                <w:color w:val="auto"/>
                <w:kern w:val="0"/>
                <w:sz w:val="22"/>
                <w:szCs w:val="22"/>
                <w:highlight w:val="none"/>
                <w:lang w:val="en-US" w:eastAsia="zh-CN"/>
              </w:rPr>
              <w:t>29.06</w:t>
            </w: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29.06</w:t>
            </w: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97"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增资-采暖</w:t>
            </w:r>
          </w:p>
        </w:tc>
        <w:tc>
          <w:tcPr>
            <w:tcW w:w="85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rPr>
            </w:pPr>
            <w:r>
              <w:rPr>
                <w:rFonts w:hint="eastAsia" w:ascii="Times New Roman Regular" w:hAnsi="Times New Roman Regular" w:eastAsia="宋体" w:cs="Times New Roman Regular"/>
                <w:b w:val="0"/>
                <w:bCs/>
                <w:color w:val="auto"/>
                <w:kern w:val="0"/>
                <w:sz w:val="22"/>
                <w:szCs w:val="22"/>
                <w:highlight w:val="none"/>
                <w:lang w:val="en-US" w:eastAsia="zh-CN"/>
              </w:rPr>
              <w:t>44.88</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rPr>
            </w:pPr>
            <w:r>
              <w:rPr>
                <w:rFonts w:hint="eastAsia" w:ascii="Times New Roman Regular" w:hAnsi="Times New Roman Regular" w:eastAsia="宋体" w:cs="Times New Roman Regular"/>
                <w:b w:val="0"/>
                <w:bCs/>
                <w:color w:val="auto"/>
                <w:kern w:val="0"/>
                <w:sz w:val="22"/>
                <w:szCs w:val="22"/>
                <w:highlight w:val="none"/>
                <w:lang w:val="en-US" w:eastAsia="zh-CN"/>
              </w:rPr>
              <w:t>44.88</w:t>
            </w: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44.88</w:t>
            </w: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97"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Regular" w:hAnsi="Times New Roman Regular" w:eastAsia="宋体" w:cs="Times New Roman Regular"/>
                <w:b w:val="0"/>
                <w:bCs/>
                <w:color w:val="auto"/>
                <w:kern w:val="0"/>
                <w:sz w:val="22"/>
                <w:szCs w:val="22"/>
                <w:highlight w:val="none"/>
              </w:rPr>
            </w:pPr>
            <w:r>
              <w:rPr>
                <w:rFonts w:hint="default" w:ascii="Times New Roman Regular" w:hAnsi="Times New Roman Regular" w:eastAsia="宋体" w:cs="Times New Roman Regular"/>
                <w:b w:val="0"/>
                <w:bCs/>
                <w:color w:val="auto"/>
                <w:kern w:val="0"/>
                <w:sz w:val="22"/>
                <w:szCs w:val="22"/>
                <w:highlight w:val="none"/>
              </w:rPr>
              <w:t>单位资金-存量项目</w:t>
            </w:r>
          </w:p>
        </w:tc>
        <w:tc>
          <w:tcPr>
            <w:tcW w:w="850"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33.29</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97"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33.29</w:t>
            </w: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33.29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b w:val="0"/>
                <w:bCs/>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单位资金-体育特色校资金</w:t>
            </w:r>
          </w:p>
        </w:tc>
        <w:tc>
          <w:tcPr>
            <w:tcW w:w="850"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6.53</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97"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6.53</w:t>
            </w: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b w:val="0"/>
                <w:bCs/>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单位资金-课后延时费</w:t>
            </w:r>
          </w:p>
        </w:tc>
        <w:tc>
          <w:tcPr>
            <w:tcW w:w="850"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0.23</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97"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0.23</w:t>
            </w: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eastAsia"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87" w:type="dxa"/>
            <w:noWrap w:val="0"/>
            <w:vAlign w:val="center"/>
          </w:tcPr>
          <w:p>
            <w:pPr>
              <w:keepNext w:val="0"/>
              <w:keepLines w:val="0"/>
              <w:widowControl/>
              <w:suppressLineNumbers w:val="0"/>
              <w:jc w:val="left"/>
              <w:textAlignment w:val="center"/>
              <w:rPr>
                <w:rFonts w:hint="default" w:ascii="Times New Roman Regular" w:hAnsi="Times New Roman Regular" w:eastAsia="宋体" w:cs="Times New Roman Regular"/>
                <w:b w:val="0"/>
                <w:bCs/>
                <w:color w:val="auto"/>
                <w:kern w:val="0"/>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单位资金-扫黄打非经费</w:t>
            </w:r>
          </w:p>
        </w:tc>
        <w:tc>
          <w:tcPr>
            <w:tcW w:w="85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rPr>
            </w:pPr>
            <w:r>
              <w:rPr>
                <w:rFonts w:hint="eastAsia" w:ascii="Times New Roman Regular" w:hAnsi="Times New Roman Regular" w:eastAsia="宋体" w:cs="Times New Roman Regular"/>
                <w:b w:val="0"/>
                <w:bCs/>
                <w:color w:val="auto"/>
                <w:kern w:val="0"/>
                <w:sz w:val="22"/>
                <w:szCs w:val="22"/>
                <w:highlight w:val="none"/>
                <w:lang w:val="en-US" w:eastAsia="zh-CN"/>
              </w:rPr>
              <w:t>0.5</w:t>
            </w:r>
            <w:r>
              <w:rPr>
                <w:rFonts w:hint="eastAsia" w:ascii="Times New Roman Regular" w:hAnsi="Times New Roman Regular" w:cs="Times New Roman Regular"/>
                <w:b w:val="0"/>
                <w:bCs/>
                <w:color w:val="auto"/>
                <w:kern w:val="0"/>
                <w:sz w:val="22"/>
                <w:szCs w:val="22"/>
                <w:highlight w:val="none"/>
                <w:lang w:val="en-US" w:eastAsia="zh-CN"/>
              </w:rPr>
              <w:t>0</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797"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0.5</w:t>
            </w:r>
            <w:r>
              <w:rPr>
                <w:rFonts w:hint="eastAsia" w:ascii="Times New Roman Regular" w:hAnsi="Times New Roman Regular" w:cs="Times New Roman Regular"/>
                <w:b w:val="0"/>
                <w:bCs/>
                <w:color w:val="auto"/>
                <w:kern w:val="0"/>
                <w:sz w:val="22"/>
                <w:szCs w:val="22"/>
                <w:highlight w:val="none"/>
                <w:lang w:val="en-US" w:eastAsia="zh-CN"/>
              </w:rPr>
              <w:t>0</w:t>
            </w: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0.5</w:t>
            </w:r>
            <w:r>
              <w:rPr>
                <w:rFonts w:hint="eastAsia" w:ascii="Times New Roman Regular" w:hAnsi="Times New Roman Regular" w:cs="Times New Roman Regular"/>
                <w:b w:val="0"/>
                <w:bCs/>
                <w:color w:val="auto"/>
                <w:kern w:val="0"/>
                <w:sz w:val="22"/>
                <w:szCs w:val="22"/>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287" w:type="dxa"/>
            <w:noWrap w:val="0"/>
            <w:vAlign w:val="center"/>
          </w:tcPr>
          <w:p>
            <w:pPr>
              <w:spacing w:line="600" w:lineRule="exact"/>
              <w:jc w:val="center"/>
              <w:rPr>
                <w:rFonts w:hint="default" w:ascii="Times New Roman" w:hAnsi="Times New Roman" w:eastAsia="仿宋" w:cs="Times New Roman"/>
                <w:bCs/>
                <w:color w:val="auto"/>
                <w:kern w:val="0"/>
                <w:sz w:val="28"/>
                <w:szCs w:val="28"/>
                <w:highlight w:val="none"/>
              </w:rPr>
            </w:pPr>
            <w:r>
              <w:rPr>
                <w:rFonts w:hint="default" w:ascii="Times New Roman" w:hAnsi="Times New Roman" w:eastAsia="仿宋_GB2312" w:cs="Times New Roman"/>
                <w:b/>
                <w:bCs/>
                <w:color w:val="auto"/>
                <w:kern w:val="0"/>
                <w:sz w:val="20"/>
                <w:szCs w:val="20"/>
                <w:highlight w:val="none"/>
                <w:lang w:val="en-US" w:eastAsia="zh-CN"/>
              </w:rPr>
              <w:t>总计</w:t>
            </w:r>
          </w:p>
        </w:tc>
        <w:tc>
          <w:tcPr>
            <w:tcW w:w="85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cs="Times New Roman Regular"/>
                <w:b w:val="0"/>
                <w:bCs/>
                <w:color w:val="auto"/>
                <w:kern w:val="0"/>
                <w:sz w:val="22"/>
                <w:szCs w:val="22"/>
                <w:highlight w:val="none"/>
                <w:lang w:val="en-US" w:eastAsia="zh-CN"/>
              </w:rPr>
              <w:t>232.70</w:t>
            </w:r>
          </w:p>
        </w:tc>
        <w:tc>
          <w:tcPr>
            <w:tcW w:w="105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192.15</w:t>
            </w:r>
          </w:p>
        </w:tc>
        <w:tc>
          <w:tcPr>
            <w:tcW w:w="890"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73.94</w:t>
            </w:r>
          </w:p>
        </w:tc>
        <w:tc>
          <w:tcPr>
            <w:tcW w:w="714"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lang w:val="en-US" w:eastAsia="zh-CN"/>
              </w:rPr>
            </w:pPr>
            <w:r>
              <w:rPr>
                <w:rFonts w:hint="eastAsia" w:ascii="Times New Roman Regular" w:hAnsi="Times New Roman Regular" w:eastAsia="宋体" w:cs="Times New Roman Regular"/>
                <w:b w:val="0"/>
                <w:bCs/>
                <w:color w:val="auto"/>
                <w:kern w:val="0"/>
                <w:sz w:val="22"/>
                <w:szCs w:val="22"/>
                <w:highlight w:val="none"/>
                <w:lang w:val="en-US" w:eastAsia="zh-CN"/>
              </w:rPr>
              <w:t>118.21</w:t>
            </w:r>
          </w:p>
        </w:tc>
        <w:tc>
          <w:tcPr>
            <w:tcW w:w="797"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r>
              <w:rPr>
                <w:rFonts w:hint="eastAsia" w:ascii="Times New Roman Regular" w:hAnsi="Times New Roman Regular" w:eastAsia="宋体" w:cs="Times New Roman Regular"/>
                <w:b w:val="0"/>
                <w:bCs/>
                <w:color w:val="auto"/>
                <w:kern w:val="0"/>
                <w:sz w:val="22"/>
                <w:szCs w:val="22"/>
                <w:highlight w:val="none"/>
                <w:lang w:val="en-US" w:eastAsia="zh-CN"/>
              </w:rPr>
              <w:t>40.55</w:t>
            </w:r>
          </w:p>
        </w:tc>
        <w:tc>
          <w:tcPr>
            <w:tcW w:w="723"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88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p>
        </w:tc>
        <w:tc>
          <w:tcPr>
            <w:tcW w:w="1211" w:type="dxa"/>
            <w:noWrap w:val="0"/>
            <w:vAlign w:val="center"/>
          </w:tcPr>
          <w:p>
            <w:pPr>
              <w:spacing w:line="600" w:lineRule="exact"/>
              <w:jc w:val="center"/>
              <w:rPr>
                <w:rFonts w:hint="default" w:ascii="Times New Roman Regular" w:hAnsi="Times New Roman Regular" w:eastAsia="宋体" w:cs="Times New Roman Regular"/>
                <w:b w:val="0"/>
                <w:bCs/>
                <w:color w:val="auto"/>
                <w:kern w:val="0"/>
                <w:sz w:val="22"/>
                <w:szCs w:val="22"/>
                <w:highlight w:val="none"/>
              </w:rPr>
            </w:pPr>
            <w:r>
              <w:rPr>
                <w:rFonts w:hint="eastAsia" w:ascii="Times New Roman Regular" w:hAnsi="Times New Roman Regular" w:eastAsia="宋体" w:cs="Times New Roman Regular"/>
                <w:b w:val="0"/>
                <w:bCs/>
                <w:color w:val="auto"/>
                <w:kern w:val="0"/>
                <w:sz w:val="22"/>
                <w:szCs w:val="22"/>
                <w:highlight w:val="none"/>
                <w:lang w:val="en-US" w:eastAsia="zh-CN"/>
              </w:rPr>
              <w:t>40.55</w:t>
            </w:r>
          </w:p>
        </w:tc>
      </w:tr>
    </w:tbl>
    <w:p>
      <w:pPr>
        <w:widowControl/>
        <w:spacing w:line="280" w:lineRule="exact"/>
        <w:jc w:val="left"/>
        <w:outlineLvl w:val="1"/>
        <w:rPr>
          <w:rFonts w:hint="default" w:ascii="Times New Roman" w:hAnsi="Times New Roman" w:eastAsia="仿宋_GB2312" w:cs="Times New Roman"/>
          <w:color w:val="auto"/>
          <w:kern w:val="0"/>
          <w:sz w:val="32"/>
          <w:szCs w:val="32"/>
          <w:highlight w:val="none"/>
        </w:rPr>
      </w:pPr>
    </w:p>
    <w:p>
      <w:pPr>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 xml:space="preserve">第三部分  </w:t>
      </w:r>
      <w:r>
        <w:rPr>
          <w:rFonts w:hint="eastAsia" w:eastAsia="黑体" w:cs="Times New Roman"/>
          <w:color w:val="auto"/>
          <w:kern w:val="0"/>
          <w:sz w:val="32"/>
          <w:szCs w:val="32"/>
          <w:highlight w:val="none"/>
          <w:lang w:val="en-US" w:eastAsia="zh-CN"/>
        </w:rPr>
        <w:t>2026</w:t>
      </w:r>
      <w:r>
        <w:rPr>
          <w:rFonts w:hint="default" w:ascii="Times New Roman" w:hAnsi="Times New Roman" w:eastAsia="黑体" w:cs="Times New Roman"/>
          <w:color w:val="auto"/>
          <w:kern w:val="0"/>
          <w:sz w:val="32"/>
          <w:szCs w:val="32"/>
          <w:highlight w:val="none"/>
        </w:rPr>
        <w:t>年单位预算情况说明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黑体" w:cs="Times New Roman"/>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val="0"/>
          <w:color w:val="auto"/>
          <w:kern w:val="0"/>
          <w:sz w:val="32"/>
          <w:szCs w:val="32"/>
          <w:highlight w:val="none"/>
        </w:rPr>
      </w:pPr>
      <w:r>
        <w:rPr>
          <w:rFonts w:hint="default" w:ascii="Times New Roman" w:hAnsi="Times New Roman" w:eastAsia="楷体_GB2312" w:cs="Times New Roman"/>
          <w:b/>
          <w:bCs w:val="0"/>
          <w:color w:val="auto"/>
          <w:kern w:val="0"/>
          <w:sz w:val="32"/>
          <w:szCs w:val="32"/>
          <w:highlight w:val="none"/>
        </w:rPr>
        <w:t>一、关于</w:t>
      </w:r>
      <w:r>
        <w:rPr>
          <w:rFonts w:hint="eastAsia" w:eastAsia="楷体_GB2312" w:cs="Times New Roman"/>
          <w:b/>
          <w:bCs w:val="0"/>
          <w:color w:val="auto"/>
          <w:kern w:val="0"/>
          <w:sz w:val="32"/>
          <w:szCs w:val="32"/>
          <w:highlight w:val="none"/>
          <w:lang w:val="en-US" w:eastAsia="zh-CN"/>
        </w:rPr>
        <w:t>乌鲁木齐市第127中学</w:t>
      </w:r>
      <w:r>
        <w:rPr>
          <w:rFonts w:hint="default" w:ascii="Times New Roman" w:hAnsi="Times New Roman" w:eastAsia="楷体_GB2312" w:cs="Times New Roman"/>
          <w:b/>
          <w:bCs w:val="0"/>
          <w:color w:val="auto"/>
          <w:kern w:val="0"/>
          <w:sz w:val="32"/>
          <w:szCs w:val="32"/>
          <w:highlight w:val="none"/>
        </w:rPr>
        <w:t>单位</w:t>
      </w:r>
      <w:r>
        <w:rPr>
          <w:rFonts w:hint="eastAsia" w:eastAsia="楷体_GB2312" w:cs="Times New Roman"/>
          <w:b/>
          <w:bCs w:val="0"/>
          <w:color w:val="auto"/>
          <w:kern w:val="0"/>
          <w:sz w:val="32"/>
          <w:szCs w:val="32"/>
          <w:highlight w:val="none"/>
          <w:lang w:val="en-US" w:eastAsia="zh-CN"/>
        </w:rPr>
        <w:t>2026</w:t>
      </w:r>
      <w:r>
        <w:rPr>
          <w:rFonts w:hint="default" w:ascii="Times New Roman" w:hAnsi="Times New Roman" w:eastAsia="楷体_GB2312" w:cs="Times New Roman"/>
          <w:b/>
          <w:bCs w:val="0"/>
          <w:color w:val="auto"/>
          <w:kern w:val="0"/>
          <w:sz w:val="32"/>
          <w:szCs w:val="32"/>
          <w:highlight w:val="none"/>
        </w:rPr>
        <w:t>年收支预算情况的总体说明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按照全口径预算的原则，乌鲁木齐市第127中学单位2026年所有收入和支出均纳入单位预算管理。收支总预算4630.0</w:t>
      </w:r>
      <w:r>
        <w:rPr>
          <w:rFonts w:hint="eastAsia"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收入预算包括：一般公共预算、</w:t>
      </w:r>
      <w:r>
        <w:rPr>
          <w:rFonts w:hint="default" w:ascii="Times New Roman" w:hAnsi="Times New Roman" w:eastAsia="仿宋_GB2312" w:cs="Times New Roman"/>
          <w:color w:val="auto"/>
          <w:kern w:val="0"/>
          <w:sz w:val="32"/>
          <w:szCs w:val="32"/>
          <w:highlight w:val="none"/>
          <w:lang w:val="en-US" w:eastAsia="zh-Hans"/>
        </w:rPr>
        <w:t>单位资金、财政拨款结转结余、非财政拨款结转结余</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支出预算包括：教育支出、社会保障和就业支出、卫生健康支出、住房保障支出。</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二、关于</w:t>
      </w:r>
      <w:r>
        <w:rPr>
          <w:rFonts w:hint="eastAsia" w:eastAsia="楷体_GB2312" w:cs="Times New Roman"/>
          <w:b/>
          <w:bCs w:val="0"/>
          <w:color w:val="auto"/>
          <w:kern w:val="0"/>
          <w:sz w:val="32"/>
          <w:szCs w:val="32"/>
          <w:highlight w:val="none"/>
          <w:lang w:val="en-US" w:eastAsia="zh-CN"/>
        </w:rPr>
        <w:t>乌鲁木齐市第127中学</w:t>
      </w:r>
      <w:r>
        <w:rPr>
          <w:rFonts w:hint="default" w:ascii="Times New Roman" w:hAnsi="Times New Roman" w:eastAsia="楷体_GB2312" w:cs="Times New Roman"/>
          <w:b/>
          <w:bCs w:val="0"/>
          <w:color w:val="auto"/>
          <w:kern w:val="0"/>
          <w:sz w:val="32"/>
          <w:szCs w:val="32"/>
          <w:highlight w:val="none"/>
        </w:rPr>
        <w:t>单位</w:t>
      </w:r>
      <w:r>
        <w:rPr>
          <w:rFonts w:hint="eastAsia" w:eastAsia="楷体_GB2312" w:cs="Times New Roman"/>
          <w:b/>
          <w:bCs w:val="0"/>
          <w:color w:val="auto"/>
          <w:kern w:val="0"/>
          <w:sz w:val="32"/>
          <w:szCs w:val="32"/>
          <w:highlight w:val="none"/>
          <w:lang w:val="en-US" w:eastAsia="zh-CN"/>
        </w:rPr>
        <w:t>2026</w:t>
      </w:r>
      <w:r>
        <w:rPr>
          <w:rFonts w:hint="default" w:ascii="Times New Roman" w:hAnsi="Times New Roman" w:eastAsia="楷体_GB2312" w:cs="Times New Roman"/>
          <w:b/>
          <w:bCs w:val="0"/>
          <w:color w:val="auto"/>
          <w:kern w:val="0"/>
          <w:sz w:val="32"/>
          <w:szCs w:val="32"/>
          <w:highlight w:val="none"/>
        </w:rPr>
        <w:t>年</w:t>
      </w:r>
      <w:r>
        <w:rPr>
          <w:rFonts w:hint="default" w:ascii="Times New Roman" w:hAnsi="Times New Roman" w:eastAsia="楷体_GB2312" w:cs="Times New Roman"/>
          <w:b/>
          <w:bCs/>
          <w:color w:val="auto"/>
          <w:kern w:val="0"/>
          <w:sz w:val="32"/>
          <w:szCs w:val="32"/>
          <w:highlight w:val="none"/>
        </w:rPr>
        <w:t>收入预算情况说明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乌鲁木齐市第127中学单位收入预算4630.02</w:t>
      </w:r>
      <w:r>
        <w:rPr>
          <w:rFonts w:hint="default" w:ascii="Times New Roman" w:hAnsi="Times New Roman" w:eastAsia="仿宋_GB2312" w:cs="Times New Roman"/>
          <w:color w:val="auto"/>
          <w:kern w:val="0"/>
          <w:sz w:val="32"/>
          <w:szCs w:val="32"/>
          <w:highlight w:val="none"/>
          <w:lang w:eastAsia="zh-CN"/>
        </w:rPr>
        <w:t>万</w:t>
      </w:r>
      <w:r>
        <w:rPr>
          <w:rFonts w:hint="default" w:ascii="Times New Roman" w:hAnsi="Times New Roman" w:eastAsia="仿宋_GB2312" w:cs="Times New Roman"/>
          <w:color w:val="auto"/>
          <w:kern w:val="0"/>
          <w:sz w:val="32"/>
          <w:szCs w:val="32"/>
          <w:highlight w:val="none"/>
        </w:rPr>
        <w:t>元，其中：</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一般公共预算3938.4</w:t>
      </w:r>
      <w:r>
        <w:rPr>
          <w:rFonts w:hint="default" w:eastAsia="仿宋_GB2312" w:cs="Times New Roman"/>
          <w:color w:val="auto"/>
          <w:kern w:val="0"/>
          <w:sz w:val="32"/>
          <w:szCs w:val="32"/>
          <w:highlight w:val="none"/>
          <w:lang w:val="en-US"/>
        </w:rPr>
        <w:t>1</w:t>
      </w:r>
      <w:r>
        <w:rPr>
          <w:rFonts w:hint="default" w:ascii="Times New Roman" w:hAnsi="Times New Roman" w:eastAsia="仿宋_GB2312" w:cs="Times New Roman"/>
          <w:color w:val="auto"/>
          <w:kern w:val="0"/>
          <w:sz w:val="32"/>
          <w:szCs w:val="32"/>
          <w:highlight w:val="none"/>
        </w:rPr>
        <w:t>万元，占</w:t>
      </w:r>
      <w:r>
        <w:rPr>
          <w:rFonts w:hint="default" w:ascii="Times New Roman" w:hAnsi="Times New Roman" w:eastAsia="仿宋_GB2312" w:cs="Times New Roman"/>
          <w:color w:val="auto"/>
          <w:kern w:val="0"/>
          <w:sz w:val="32"/>
          <w:szCs w:val="32"/>
          <w:highlight w:val="none"/>
          <w:lang w:val="en-US" w:eastAsia="zh-CN"/>
        </w:rPr>
        <w:t>85.06%</w:t>
      </w:r>
      <w:r>
        <w:rPr>
          <w:rFonts w:hint="default" w:ascii="Times New Roman" w:hAnsi="Times New Roman" w:eastAsia="仿宋_GB2312" w:cs="Times New Roman"/>
          <w:color w:val="auto"/>
          <w:kern w:val="0"/>
          <w:sz w:val="32"/>
          <w:szCs w:val="32"/>
          <w:highlight w:val="none"/>
        </w:rPr>
        <w:t>，比上年预算增加</w:t>
      </w:r>
      <w:r>
        <w:rPr>
          <w:rFonts w:hint="default" w:eastAsia="仿宋_GB2312" w:cs="Times New Roman"/>
          <w:color w:val="auto"/>
          <w:kern w:val="0"/>
          <w:sz w:val="32"/>
          <w:szCs w:val="32"/>
          <w:highlight w:val="none"/>
          <w:lang w:val="en-US"/>
        </w:rPr>
        <w:t>273.67</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default" w:eastAsia="仿宋_GB2312" w:cs="Times New Roman"/>
          <w:color w:val="auto"/>
          <w:kern w:val="0"/>
          <w:sz w:val="32"/>
          <w:szCs w:val="32"/>
          <w:highlight w:val="none"/>
          <w:lang w:val="en-US" w:eastAsia="zh-CN"/>
        </w:rPr>
        <w:t>7.47</w:t>
      </w: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主要原因是</w:t>
      </w:r>
      <w:r>
        <w:rPr>
          <w:rFonts w:hint="default" w:eastAsia="仿宋_GB2312" w:cs="Times New Roman"/>
          <w:color w:val="auto"/>
          <w:kern w:val="0"/>
          <w:sz w:val="32"/>
          <w:szCs w:val="32"/>
          <w:highlight w:val="none"/>
          <w:lang w:val="en-US" w:eastAsia="zh-CN"/>
        </w:rPr>
        <w:t>2026</w:t>
      </w:r>
      <w:r>
        <w:rPr>
          <w:rFonts w:hint="eastAsia" w:eastAsia="仿宋_GB2312" w:cs="Times New Roman"/>
          <w:color w:val="auto"/>
          <w:kern w:val="0"/>
          <w:sz w:val="32"/>
          <w:szCs w:val="32"/>
          <w:highlight w:val="none"/>
          <w:lang w:val="en-US" w:eastAsia="zh-CN"/>
        </w:rPr>
        <w:t>年安排食堂维修改造专项经费及优均创建设施设备购置更新经费</w:t>
      </w:r>
      <w:r>
        <w:rPr>
          <w:rFonts w:hint="default" w:ascii="Times New Roman" w:hAnsi="Times New Roman" w:eastAsia="仿宋_GB2312" w:cs="Times New Roman"/>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Hans"/>
        </w:rPr>
        <w:t>上级</w:t>
      </w:r>
      <w:r>
        <w:rPr>
          <w:rFonts w:hint="default" w:ascii="Times New Roman" w:hAnsi="Times New Roman" w:eastAsia="仿宋_GB2312" w:cs="Times New Roman"/>
          <w:color w:val="auto"/>
          <w:kern w:val="0"/>
          <w:sz w:val="32"/>
          <w:szCs w:val="32"/>
          <w:highlight w:val="none"/>
        </w:rPr>
        <w:t>一般公共预算</w:t>
      </w:r>
      <w:r>
        <w:rPr>
          <w:rFonts w:hint="default" w:ascii="Times New Roman" w:hAnsi="Times New Roman" w:eastAsia="仿宋_GB2312" w:cs="Times New Roman"/>
          <w:color w:val="auto"/>
          <w:kern w:val="0"/>
          <w:sz w:val="32"/>
          <w:szCs w:val="32"/>
          <w:highlight w:val="none"/>
          <w:lang w:val="en-US" w:eastAsia="zh-Hans"/>
        </w:rPr>
        <w:t>安排的转移支付资金</w:t>
      </w:r>
      <w:r>
        <w:rPr>
          <w:rFonts w:hint="default" w:ascii="Times New Roman" w:hAnsi="Times New Roman" w:eastAsia="仿宋_GB2312" w:cs="Times New Roman"/>
          <w:color w:val="auto"/>
          <w:kern w:val="0"/>
          <w:sz w:val="32"/>
          <w:szCs w:val="32"/>
          <w:highlight w:val="none"/>
        </w:rPr>
        <w:t>231.95万元，占5.01%，比上年预算减少</w:t>
      </w:r>
      <w:r>
        <w:rPr>
          <w:rFonts w:hint="eastAsia" w:eastAsia="仿宋_GB2312" w:cs="Times New Roman"/>
          <w:color w:val="auto"/>
          <w:kern w:val="0"/>
          <w:sz w:val="32"/>
          <w:szCs w:val="32"/>
          <w:highlight w:val="none"/>
          <w:lang w:val="en-US" w:eastAsia="zh-CN"/>
        </w:rPr>
        <w:t>135.10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下降</w:t>
      </w:r>
      <w:r>
        <w:rPr>
          <w:rFonts w:hint="eastAsia" w:eastAsia="仿宋_GB2312" w:cs="Times New Roman"/>
          <w:color w:val="auto"/>
          <w:kern w:val="0"/>
          <w:sz w:val="32"/>
          <w:szCs w:val="32"/>
          <w:highlight w:val="none"/>
          <w:lang w:val="en-US" w:eastAsia="zh-CN"/>
        </w:rPr>
        <w:t>36.81</w:t>
      </w:r>
      <w:r>
        <w:rPr>
          <w:rFonts w:hint="default" w:ascii="Times New Roman" w:hAnsi="Times New Roman" w:eastAsia="仿宋_GB2312" w:cs="Times New Roman"/>
          <w:color w:val="auto"/>
          <w:kern w:val="0"/>
          <w:sz w:val="32"/>
          <w:szCs w:val="32"/>
          <w:highlight w:val="none"/>
          <w:lang w:val="en-US" w:eastAsia="zh-CN"/>
        </w:rPr>
        <w:t>%，</w:t>
      </w:r>
      <w:r>
        <w:rPr>
          <w:color w:val="auto"/>
          <w:highlight w:val="none"/>
        </w:rPr>
        <w:commentReference w:id="0"/>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减少自治区教育补助经费（自聘教师工资补助）和自治区城乡义务教育补助经费（校舍安全）资金。</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政府性基金预算未安排。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Hans"/>
        </w:rPr>
        <w:t>上级政府性基金安排的转移支付资金</w:t>
      </w:r>
      <w:r>
        <w:rPr>
          <w:rFonts w:hint="default" w:ascii="Times New Roman" w:hAnsi="Times New Roman" w:eastAsia="仿宋_GB2312" w:cs="Times New Roman"/>
          <w:color w:val="auto"/>
          <w:kern w:val="0"/>
          <w:sz w:val="32"/>
          <w:szCs w:val="32"/>
          <w:highlight w:val="none"/>
        </w:rPr>
        <w:t>未安排。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国有资本经营</w:t>
      </w:r>
      <w:r>
        <w:rPr>
          <w:rFonts w:hint="default" w:ascii="Times New Roman" w:hAnsi="Times New Roman" w:eastAsia="仿宋_GB2312" w:cs="Times New Roman"/>
          <w:color w:val="auto"/>
          <w:kern w:val="0"/>
          <w:sz w:val="32"/>
          <w:szCs w:val="32"/>
          <w:highlight w:val="none"/>
        </w:rPr>
        <w:t>预算未安排。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val="en-US" w:eastAsia="zh-Hans"/>
        </w:rPr>
        <w:t>上级国有资本经营预算安排的转移支付资金</w:t>
      </w:r>
      <w:r>
        <w:rPr>
          <w:rFonts w:hint="default" w:ascii="Times New Roman" w:hAnsi="Times New Roman" w:eastAsia="仿宋_GB2312" w:cs="Times New Roman"/>
          <w:color w:val="auto"/>
          <w:kern w:val="0"/>
          <w:sz w:val="32"/>
          <w:szCs w:val="32"/>
          <w:highlight w:val="none"/>
        </w:rPr>
        <w:t>未安排。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val="en-US" w:eastAsia="zh-Hans"/>
        </w:rPr>
        <w:t>单位资金</w:t>
      </w:r>
      <w:r>
        <w:rPr>
          <w:rFonts w:hint="default" w:ascii="Times New Roman" w:hAnsi="Times New Roman" w:eastAsia="仿宋_GB2312" w:cs="Times New Roman"/>
          <w:color w:val="auto"/>
          <w:kern w:val="0"/>
          <w:sz w:val="32"/>
          <w:szCs w:val="32"/>
          <w:highlight w:val="none"/>
        </w:rPr>
        <w:t>226.96万元，占</w:t>
      </w:r>
      <w:r>
        <w:rPr>
          <w:rFonts w:hint="eastAsia" w:eastAsia="仿宋_GB2312" w:cs="Times New Roman"/>
          <w:color w:val="auto"/>
          <w:kern w:val="0"/>
          <w:sz w:val="32"/>
          <w:szCs w:val="32"/>
          <w:highlight w:val="none"/>
          <w:lang w:val="en-US" w:eastAsia="zh-CN"/>
        </w:rPr>
        <w:t>4.90</w:t>
      </w:r>
      <w:r>
        <w:rPr>
          <w:rFonts w:hint="default" w:ascii="Times New Roman" w:hAnsi="Times New Roman" w:eastAsia="仿宋_GB2312" w:cs="Times New Roman"/>
          <w:color w:val="auto"/>
          <w:kern w:val="0"/>
          <w:sz w:val="32"/>
          <w:szCs w:val="32"/>
          <w:highlight w:val="none"/>
        </w:rPr>
        <w:t>%，比上年预算增加</w:t>
      </w:r>
      <w:r>
        <w:rPr>
          <w:rFonts w:hint="eastAsia" w:eastAsia="仿宋_GB2312" w:cs="Times New Roman"/>
          <w:color w:val="auto"/>
          <w:kern w:val="0"/>
          <w:sz w:val="32"/>
          <w:szCs w:val="32"/>
          <w:highlight w:val="none"/>
          <w:lang w:val="en-US" w:eastAsia="zh-CN"/>
        </w:rPr>
        <w:t>226.96</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eastAsia" w:eastAsia="仿宋_GB2312" w:cs="Times New Roman"/>
          <w:color w:val="auto"/>
          <w:kern w:val="0"/>
          <w:sz w:val="32"/>
          <w:szCs w:val="32"/>
          <w:highlight w:val="none"/>
          <w:lang w:val="en-US" w:eastAsia="zh-CN"/>
        </w:rPr>
        <w:t>100</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2025年预算中未安排代收的课后服务费，2026年预算中将代收的课后服务费纳入预算单位资金中</w:t>
      </w:r>
      <w:r>
        <w:rPr>
          <w:rFonts w:hint="default" w:ascii="Times New Roman" w:hAnsi="Times New Roman" w:eastAsia="仿宋_GB2312" w:cs="Times New Roman"/>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val="en-US" w:eastAsia="zh-Hans"/>
        </w:rPr>
        <w:t>财政拨款结转</w:t>
      </w:r>
      <w:r>
        <w:rPr>
          <w:rFonts w:hint="default" w:ascii="Times New Roman" w:hAnsi="Times New Roman" w:eastAsia="仿宋_GB2312" w:cs="Times New Roman"/>
          <w:color w:val="auto"/>
          <w:kern w:val="0"/>
          <w:sz w:val="32"/>
          <w:szCs w:val="32"/>
          <w:highlight w:val="none"/>
        </w:rPr>
        <w:t>192.1</w:t>
      </w:r>
      <w:r>
        <w:rPr>
          <w:rFonts w:hint="eastAsia"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万元，占</w:t>
      </w:r>
      <w:r>
        <w:rPr>
          <w:rFonts w:hint="eastAsia" w:eastAsia="仿宋_GB2312" w:cs="Times New Roman"/>
          <w:color w:val="auto"/>
          <w:kern w:val="0"/>
          <w:sz w:val="32"/>
          <w:szCs w:val="32"/>
          <w:highlight w:val="none"/>
          <w:lang w:val="en-US" w:eastAsia="zh-CN"/>
        </w:rPr>
        <w:t>4.15</w:t>
      </w:r>
      <w:r>
        <w:rPr>
          <w:rFonts w:hint="default" w:ascii="Times New Roman" w:hAnsi="Times New Roman" w:eastAsia="仿宋_GB2312" w:cs="Times New Roman"/>
          <w:color w:val="auto"/>
          <w:kern w:val="0"/>
          <w:sz w:val="32"/>
          <w:szCs w:val="32"/>
          <w:highlight w:val="none"/>
        </w:rPr>
        <w:t>%，比上年预算增加</w:t>
      </w:r>
      <w:r>
        <w:rPr>
          <w:rFonts w:hint="eastAsia" w:eastAsia="仿宋_GB2312" w:cs="Times New Roman"/>
          <w:color w:val="auto"/>
          <w:kern w:val="0"/>
          <w:sz w:val="32"/>
          <w:szCs w:val="32"/>
          <w:highlight w:val="none"/>
          <w:lang w:val="en-US" w:eastAsia="zh-CN"/>
        </w:rPr>
        <w:t>33.04</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eastAsia" w:eastAsia="仿宋_GB2312" w:cs="Times New Roman"/>
          <w:color w:val="auto"/>
          <w:kern w:val="0"/>
          <w:sz w:val="32"/>
          <w:szCs w:val="32"/>
          <w:highlight w:val="none"/>
          <w:lang w:val="en-US" w:eastAsia="zh-CN"/>
        </w:rPr>
        <w:t>20.77</w:t>
      </w: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自治区城乡义务教育补助经费（校舍安全）资金结转至2026年，2026年支付了结转至2025年的</w:t>
      </w:r>
      <w:r>
        <w:rPr>
          <w:rFonts w:hint="eastAsia" w:ascii="仿宋_GB2312" w:hAnsi="宋体" w:eastAsia="仿宋_GB2312" w:cs="宋体"/>
          <w:color w:val="auto"/>
          <w:kern w:val="0"/>
          <w:sz w:val="32"/>
          <w:szCs w:val="32"/>
          <w:highlight w:val="none"/>
        </w:rPr>
        <w:t>2024年城市学校校舍安全保障长效机制项目</w:t>
      </w:r>
      <w:r>
        <w:rPr>
          <w:rFonts w:hint="eastAsia" w:ascii="仿宋_GB2312" w:hAnsi="宋体" w:eastAsia="仿宋_GB2312" w:cs="宋体"/>
          <w:color w:val="auto"/>
          <w:kern w:val="0"/>
          <w:sz w:val="32"/>
          <w:szCs w:val="32"/>
          <w:highlight w:val="none"/>
          <w:lang w:val="en-US" w:eastAsia="zh-CN"/>
        </w:rPr>
        <w:t>资金</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2023年城市学校校舍安全保障长效机制项目</w:t>
      </w:r>
      <w:r>
        <w:rPr>
          <w:rFonts w:hint="eastAsia" w:ascii="仿宋_GB2312" w:hAnsi="宋体" w:eastAsia="仿宋_GB2312" w:cs="宋体"/>
          <w:color w:val="auto"/>
          <w:kern w:val="0"/>
          <w:sz w:val="32"/>
          <w:szCs w:val="32"/>
          <w:highlight w:val="none"/>
          <w:lang w:val="en-US" w:eastAsia="zh-CN"/>
        </w:rPr>
        <w:t>资金</w:t>
      </w:r>
      <w:r>
        <w:rPr>
          <w:rFonts w:hint="default" w:ascii="Times New Roman" w:hAnsi="Times New Roman" w:eastAsia="仿宋_GB2312" w:cs="Times New Roman"/>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val="en-US" w:eastAsia="zh-Hans"/>
        </w:rPr>
        <w:t>非财政拨款结转结余</w:t>
      </w:r>
      <w:r>
        <w:rPr>
          <w:rFonts w:hint="default" w:ascii="Times New Roman" w:hAnsi="Times New Roman" w:eastAsia="仿宋_GB2312" w:cs="Times New Roman"/>
          <w:color w:val="auto"/>
          <w:kern w:val="0"/>
          <w:sz w:val="32"/>
          <w:szCs w:val="32"/>
          <w:highlight w:val="none"/>
        </w:rPr>
        <w:t>40.5</w:t>
      </w:r>
      <w:r>
        <w:rPr>
          <w:rFonts w:hint="eastAsia"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万元，占</w:t>
      </w:r>
      <w:r>
        <w:rPr>
          <w:rFonts w:hint="eastAsia" w:eastAsia="仿宋_GB2312" w:cs="Times New Roman"/>
          <w:color w:val="auto"/>
          <w:kern w:val="0"/>
          <w:sz w:val="32"/>
          <w:szCs w:val="32"/>
          <w:highlight w:val="none"/>
          <w:lang w:val="en-US" w:eastAsia="zh-CN"/>
        </w:rPr>
        <w:t>0.88</w:t>
      </w:r>
      <w:r>
        <w:rPr>
          <w:rFonts w:hint="default" w:ascii="Times New Roman" w:hAnsi="Times New Roman" w:eastAsia="仿宋_GB2312" w:cs="Times New Roman"/>
          <w:color w:val="auto"/>
          <w:kern w:val="0"/>
          <w:sz w:val="32"/>
          <w:szCs w:val="32"/>
          <w:highlight w:val="none"/>
        </w:rPr>
        <w:t>%，比上年预减少</w:t>
      </w:r>
      <w:r>
        <w:rPr>
          <w:rFonts w:hint="eastAsia" w:eastAsia="仿宋_GB2312" w:cs="Times New Roman"/>
          <w:color w:val="auto"/>
          <w:kern w:val="0"/>
          <w:sz w:val="32"/>
          <w:szCs w:val="32"/>
          <w:highlight w:val="none"/>
          <w:lang w:val="en-US" w:eastAsia="zh-CN"/>
        </w:rPr>
        <w:t>15.02</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下降</w:t>
      </w:r>
      <w:r>
        <w:rPr>
          <w:rFonts w:hint="eastAsia" w:eastAsia="仿宋_GB2312" w:cs="Times New Roman"/>
          <w:color w:val="auto"/>
          <w:kern w:val="0"/>
          <w:sz w:val="32"/>
          <w:szCs w:val="32"/>
          <w:highlight w:val="none"/>
          <w:lang w:val="en-US" w:eastAsia="zh-CN"/>
        </w:rPr>
        <w:t>27.03</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2025年支付代收的学生校服费，收回燃气公司退回的多购买燃气费</w:t>
      </w:r>
      <w:r>
        <w:rPr>
          <w:rFonts w:hint="default" w:ascii="Times New Roman" w:hAnsi="Times New Roman" w:eastAsia="仿宋_GB2312" w:cs="Times New Roman"/>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三、关于乌鲁木齐市第127中学单位2026年支出预算情况说明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乌鲁木齐市第127中学单位2026年支出预算4630.02</w:t>
      </w:r>
      <w:r>
        <w:rPr>
          <w:rFonts w:hint="default" w:ascii="Times New Roman" w:hAnsi="Times New Roman" w:eastAsia="仿宋_GB2312" w:cs="Times New Roman"/>
          <w:color w:val="auto"/>
          <w:kern w:val="0"/>
          <w:sz w:val="32"/>
          <w:szCs w:val="32"/>
          <w:highlight w:val="none"/>
          <w:lang w:eastAsia="zh-CN"/>
        </w:rPr>
        <w:t>万</w:t>
      </w:r>
      <w:r>
        <w:rPr>
          <w:rFonts w:hint="default" w:ascii="Times New Roman" w:hAnsi="Times New Roman" w:eastAsia="仿宋_GB2312" w:cs="Times New Roman"/>
          <w:color w:val="auto"/>
          <w:kern w:val="0"/>
          <w:sz w:val="32"/>
          <w:szCs w:val="32"/>
          <w:highlight w:val="none"/>
        </w:rPr>
        <w:t>元，其中：</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基本支出</w:t>
      </w:r>
      <w:r>
        <w:rPr>
          <w:rFonts w:hint="default" w:ascii="Times New Roman" w:hAnsi="Times New Roman" w:eastAsia="仿宋_GB2312" w:cs="Times New Roman"/>
          <w:color w:val="auto"/>
          <w:kern w:val="0"/>
          <w:sz w:val="32"/>
          <w:szCs w:val="32"/>
          <w:highlight w:val="none"/>
          <w:lang w:val="en-US" w:eastAsia="zh-CN"/>
        </w:rPr>
        <w:t>3708.49</w:t>
      </w:r>
      <w:r>
        <w:rPr>
          <w:rFonts w:hint="default" w:ascii="Times New Roman" w:hAnsi="Times New Roman" w:eastAsia="仿宋_GB2312" w:cs="Times New Roman"/>
          <w:color w:val="auto"/>
          <w:kern w:val="0"/>
          <w:sz w:val="32"/>
          <w:szCs w:val="32"/>
          <w:highlight w:val="none"/>
        </w:rPr>
        <w:t>万元，占</w:t>
      </w:r>
      <w:r>
        <w:rPr>
          <w:rFonts w:hint="eastAsia" w:eastAsia="仿宋_GB2312" w:cs="Times New Roman"/>
          <w:color w:val="auto"/>
          <w:kern w:val="0"/>
          <w:sz w:val="32"/>
          <w:szCs w:val="32"/>
          <w:highlight w:val="none"/>
          <w:lang w:val="en-US" w:eastAsia="zh-CN"/>
        </w:rPr>
        <w:t>80.10</w:t>
      </w:r>
      <w:r>
        <w:rPr>
          <w:rFonts w:hint="default" w:ascii="Times New Roman" w:hAnsi="Times New Roman" w:eastAsia="仿宋_GB2312" w:cs="Times New Roman"/>
          <w:color w:val="auto"/>
          <w:kern w:val="0"/>
          <w:sz w:val="32"/>
          <w:szCs w:val="32"/>
          <w:highlight w:val="none"/>
        </w:rPr>
        <w:t>%，比上年预算增加</w:t>
      </w:r>
      <w:r>
        <w:rPr>
          <w:rFonts w:hint="eastAsia" w:eastAsia="仿宋_GB2312" w:cs="Times New Roman"/>
          <w:color w:val="auto"/>
          <w:kern w:val="0"/>
          <w:sz w:val="32"/>
          <w:szCs w:val="32"/>
          <w:highlight w:val="none"/>
          <w:lang w:val="en-US" w:eastAsia="zh-CN"/>
        </w:rPr>
        <w:t>104.71</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eastAsia" w:eastAsia="仿宋_GB2312" w:cs="Times New Roman"/>
          <w:color w:val="auto"/>
          <w:kern w:val="0"/>
          <w:sz w:val="32"/>
          <w:szCs w:val="32"/>
          <w:highlight w:val="none"/>
          <w:lang w:val="en-US" w:eastAsia="zh-CN"/>
        </w:rPr>
        <w:t>2</w:t>
      </w:r>
      <w:r>
        <w:rPr>
          <w:rFonts w:hint="default" w:eastAsia="仿宋_GB2312" w:cs="Times New Roman"/>
          <w:color w:val="auto"/>
          <w:kern w:val="0"/>
          <w:sz w:val="32"/>
          <w:szCs w:val="32"/>
          <w:highlight w:val="none"/>
          <w:lang w:val="en-US" w:eastAsia="zh-CN"/>
        </w:rPr>
        <w:t>.</w:t>
      </w:r>
      <w:r>
        <w:rPr>
          <w:rFonts w:hint="eastAsia" w:eastAsia="仿宋_GB2312" w:cs="Times New Roman"/>
          <w:color w:val="auto"/>
          <w:kern w:val="0"/>
          <w:sz w:val="32"/>
          <w:szCs w:val="32"/>
          <w:highlight w:val="none"/>
          <w:lang w:val="en-US" w:eastAsia="zh-CN"/>
        </w:rPr>
        <w:t>91</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主要原因是</w:t>
      </w:r>
      <w:r>
        <w:rPr>
          <w:rFonts w:hint="eastAsia" w:ascii="Times New Roman" w:hAnsi="Times New Roman" w:eastAsia="仿宋_GB2312" w:cs="Times New Roman"/>
          <w:color w:val="auto"/>
          <w:kern w:val="0"/>
          <w:sz w:val="32"/>
          <w:szCs w:val="32"/>
          <w:highlight w:val="none"/>
          <w:lang w:val="en-US" w:eastAsia="zh-CN"/>
        </w:rPr>
        <w:t>人员工资、社保及公积金的正常增长</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项目支出</w:t>
      </w:r>
      <w:r>
        <w:rPr>
          <w:rFonts w:hint="eastAsia" w:eastAsia="仿宋_GB2312" w:cs="Times New Roman"/>
          <w:color w:val="auto"/>
          <w:kern w:val="0"/>
          <w:sz w:val="32"/>
          <w:szCs w:val="32"/>
          <w:highlight w:val="none"/>
          <w:lang w:val="en-US" w:eastAsia="zh-CN"/>
        </w:rPr>
        <w:t>921.53</w:t>
      </w:r>
      <w:r>
        <w:rPr>
          <w:rFonts w:hint="default" w:ascii="Times New Roman" w:hAnsi="Times New Roman" w:eastAsia="仿宋_GB2312" w:cs="Times New Roman"/>
          <w:color w:val="auto"/>
          <w:kern w:val="0"/>
          <w:sz w:val="32"/>
          <w:szCs w:val="32"/>
          <w:highlight w:val="none"/>
        </w:rPr>
        <w:t>万元，占</w:t>
      </w:r>
      <w:r>
        <w:rPr>
          <w:rFonts w:hint="eastAsia" w:eastAsia="仿宋_GB2312" w:cs="Times New Roman"/>
          <w:color w:val="auto"/>
          <w:kern w:val="0"/>
          <w:sz w:val="32"/>
          <w:szCs w:val="32"/>
          <w:highlight w:val="none"/>
          <w:lang w:val="en-US" w:eastAsia="zh-CN"/>
        </w:rPr>
        <w:t>19.90</w:t>
      </w:r>
      <w:r>
        <w:rPr>
          <w:rFonts w:hint="default" w:ascii="Times New Roman" w:hAnsi="Times New Roman" w:eastAsia="仿宋_GB2312" w:cs="Times New Roman"/>
          <w:color w:val="auto"/>
          <w:kern w:val="0"/>
          <w:sz w:val="32"/>
          <w:szCs w:val="32"/>
          <w:highlight w:val="none"/>
        </w:rPr>
        <w:t>%，比上年预算增加</w:t>
      </w:r>
      <w:r>
        <w:rPr>
          <w:rFonts w:hint="default" w:eastAsia="仿宋_GB2312" w:cs="Times New Roman"/>
          <w:color w:val="auto"/>
          <w:kern w:val="0"/>
          <w:sz w:val="32"/>
          <w:szCs w:val="32"/>
          <w:highlight w:val="none"/>
          <w:lang w:val="en-US"/>
        </w:rPr>
        <w:t>278.83</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default" w:eastAsia="仿宋_GB2312" w:cs="Times New Roman"/>
          <w:color w:val="auto"/>
          <w:kern w:val="0"/>
          <w:sz w:val="32"/>
          <w:szCs w:val="32"/>
          <w:highlight w:val="none"/>
          <w:lang w:val="en-US" w:eastAsia="zh-CN"/>
        </w:rPr>
        <w:t>43.38</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主要原因是</w:t>
      </w:r>
      <w:r>
        <w:rPr>
          <w:rFonts w:hint="default" w:ascii="Times New Roman" w:hAnsi="Times New Roman" w:eastAsia="仿宋_GB2312" w:cs="Times New Roman"/>
          <w:color w:val="auto"/>
          <w:kern w:val="0"/>
          <w:sz w:val="32"/>
          <w:szCs w:val="32"/>
          <w:highlight w:val="none"/>
          <w:lang w:eastAsia="zh-CN"/>
        </w:rPr>
        <w:t>2026年安排食堂维修改造专项经费及优均创建设施设备购置更新经费</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四、关于乌鲁木齐市第127中学单位2026年财政拨款收支预算情况的总体说明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年财政拨款收支总预算4170.36万元。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16" w:firstLineChars="200"/>
        <w:jc w:val="both"/>
        <w:textAlignment w:val="auto"/>
        <w:rPr>
          <w:rFonts w:hint="default" w:ascii="Times New Roman" w:hAnsi="Times New Roman" w:eastAsia="仿宋_GB2312" w:cs="Times New Roman"/>
          <w:color w:val="auto"/>
          <w:spacing w:val="-6"/>
          <w:kern w:val="0"/>
          <w:sz w:val="32"/>
          <w:szCs w:val="32"/>
          <w:highlight w:val="none"/>
        </w:rPr>
      </w:pPr>
      <w:r>
        <w:rPr>
          <w:rFonts w:hint="default" w:ascii="Times New Roman" w:hAnsi="Times New Roman" w:eastAsia="仿宋_GB2312" w:cs="Times New Roman"/>
          <w:color w:val="auto"/>
          <w:spacing w:val="-6"/>
          <w:kern w:val="0"/>
          <w:sz w:val="32"/>
          <w:szCs w:val="32"/>
          <w:highlight w:val="none"/>
        </w:rPr>
        <w:t>收入全部为一般公共预算拨款，无政府性基金预算拨款和国有资本经营预算。</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收入预算包括：一般公共预算拨款4170.36万元。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一般公共预算支出包括：教育支出3181.99万元，主要用于</w:t>
      </w:r>
      <w:r>
        <w:rPr>
          <w:rFonts w:hint="eastAsia" w:ascii="仿宋_GB2312" w:hAnsi="宋体" w:eastAsia="仿宋_GB2312" w:cs="宋体"/>
          <w:color w:val="auto"/>
          <w:kern w:val="0"/>
          <w:sz w:val="32"/>
          <w:szCs w:val="32"/>
          <w:highlight w:val="none"/>
        </w:rPr>
        <w:t>我单位在职</w:t>
      </w:r>
      <w:r>
        <w:rPr>
          <w:rFonts w:hint="eastAsia" w:ascii="仿宋_GB2312" w:hAnsi="宋体" w:eastAsia="仿宋_GB2312" w:cs="宋体"/>
          <w:color w:val="auto"/>
          <w:kern w:val="0"/>
          <w:sz w:val="32"/>
          <w:szCs w:val="32"/>
          <w:highlight w:val="none"/>
          <w:lang w:eastAsia="zh-CN"/>
        </w:rPr>
        <w:t>及</w:t>
      </w:r>
      <w:r>
        <w:rPr>
          <w:rFonts w:hint="eastAsia" w:ascii="仿宋_GB2312" w:hAnsi="宋体" w:eastAsia="仿宋_GB2312" w:cs="宋体"/>
          <w:color w:val="auto"/>
          <w:kern w:val="0"/>
          <w:sz w:val="32"/>
          <w:szCs w:val="32"/>
          <w:highlight w:val="none"/>
        </w:rPr>
        <w:t>聘用人员工资</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奖金等支出</w:t>
      </w:r>
      <w:r>
        <w:rPr>
          <w:rFonts w:hint="eastAsia" w:eastAsia="仿宋_GB2312" w:cs="Times New Roman"/>
          <w:color w:val="auto"/>
          <w:kern w:val="0"/>
          <w:sz w:val="32"/>
          <w:szCs w:val="32"/>
          <w:highlight w:val="none"/>
          <w:lang w:eastAsia="zh-CN"/>
        </w:rPr>
        <w:t>；社会保障和就业支出</w:t>
      </w:r>
      <w:r>
        <w:rPr>
          <w:rFonts w:hint="eastAsia" w:eastAsia="仿宋_GB2312" w:cs="Times New Roman"/>
          <w:color w:val="auto"/>
          <w:kern w:val="0"/>
          <w:sz w:val="32"/>
          <w:szCs w:val="32"/>
          <w:highlight w:val="none"/>
          <w:lang w:val="en-US" w:eastAsia="zh-CN"/>
        </w:rPr>
        <w:t>535.88</w:t>
      </w:r>
      <w:r>
        <w:rPr>
          <w:rFonts w:hint="default" w:ascii="Times New Roman" w:hAnsi="Times New Roman" w:eastAsia="仿宋_GB2312" w:cs="Times New Roman"/>
          <w:color w:val="auto"/>
          <w:kern w:val="0"/>
          <w:sz w:val="32"/>
          <w:szCs w:val="32"/>
          <w:highlight w:val="none"/>
        </w:rPr>
        <w:t>万元，主要用于</w:t>
      </w:r>
      <w:r>
        <w:rPr>
          <w:rFonts w:hint="eastAsia" w:eastAsia="仿宋_GB2312" w:cs="Times New Roman"/>
          <w:color w:val="auto"/>
          <w:kern w:val="0"/>
          <w:sz w:val="32"/>
          <w:szCs w:val="32"/>
          <w:highlight w:val="none"/>
          <w:lang w:val="en-US" w:eastAsia="zh-CN"/>
        </w:rPr>
        <w:t>我单位退休人员奖金、独生子女费及取暖费的发放，在职人员养老保险的缴纳</w:t>
      </w:r>
      <w:r>
        <w:rPr>
          <w:rFonts w:hint="eastAsia" w:eastAsia="仿宋_GB2312" w:cs="Times New Roman"/>
          <w:color w:val="auto"/>
          <w:kern w:val="0"/>
          <w:sz w:val="32"/>
          <w:szCs w:val="32"/>
          <w:highlight w:val="none"/>
          <w:lang w:eastAsia="zh-CN"/>
        </w:rPr>
        <w:t>；卫生健康支出</w:t>
      </w:r>
      <w:r>
        <w:rPr>
          <w:rFonts w:hint="eastAsia" w:eastAsia="仿宋_GB2312" w:cs="Times New Roman"/>
          <w:color w:val="auto"/>
          <w:kern w:val="0"/>
          <w:sz w:val="32"/>
          <w:szCs w:val="32"/>
          <w:highlight w:val="none"/>
          <w:lang w:val="en-US" w:eastAsia="zh-CN"/>
        </w:rPr>
        <w:t>224.34</w:t>
      </w:r>
      <w:r>
        <w:rPr>
          <w:rFonts w:hint="default" w:ascii="Times New Roman" w:hAnsi="Times New Roman" w:eastAsia="仿宋_GB2312" w:cs="Times New Roman"/>
          <w:color w:val="auto"/>
          <w:kern w:val="0"/>
          <w:sz w:val="32"/>
          <w:szCs w:val="32"/>
          <w:highlight w:val="none"/>
        </w:rPr>
        <w:t>万元，主要用于</w:t>
      </w:r>
      <w:r>
        <w:rPr>
          <w:rFonts w:hint="eastAsia" w:eastAsia="仿宋_GB2312" w:cs="Times New Roman"/>
          <w:color w:val="auto"/>
          <w:kern w:val="0"/>
          <w:sz w:val="32"/>
          <w:szCs w:val="32"/>
          <w:highlight w:val="none"/>
          <w:lang w:val="en-US" w:eastAsia="zh-CN"/>
        </w:rPr>
        <w:t>我单位在职人员公务员医疗补助及医疗保险的缴纳</w:t>
      </w:r>
      <w:r>
        <w:rPr>
          <w:rFonts w:hint="eastAsia" w:eastAsia="仿宋_GB2312" w:cs="Times New Roman"/>
          <w:color w:val="auto"/>
          <w:kern w:val="0"/>
          <w:sz w:val="32"/>
          <w:szCs w:val="32"/>
          <w:highlight w:val="none"/>
          <w:lang w:eastAsia="zh-CN"/>
        </w:rPr>
        <w:t>；住房保障支出</w:t>
      </w:r>
      <w:r>
        <w:rPr>
          <w:rFonts w:hint="eastAsia" w:eastAsia="仿宋_GB2312" w:cs="Times New Roman"/>
          <w:color w:val="auto"/>
          <w:kern w:val="0"/>
          <w:sz w:val="32"/>
          <w:szCs w:val="32"/>
          <w:highlight w:val="none"/>
          <w:lang w:val="en-US" w:eastAsia="zh-CN"/>
        </w:rPr>
        <w:t>228.15</w:t>
      </w:r>
      <w:r>
        <w:rPr>
          <w:rFonts w:hint="default" w:ascii="Times New Roman" w:hAnsi="Times New Roman" w:eastAsia="仿宋_GB2312" w:cs="Times New Roman"/>
          <w:color w:val="auto"/>
          <w:kern w:val="0"/>
          <w:sz w:val="32"/>
          <w:szCs w:val="32"/>
          <w:highlight w:val="none"/>
        </w:rPr>
        <w:t>万元，主要用于</w:t>
      </w:r>
      <w:r>
        <w:rPr>
          <w:rFonts w:hint="eastAsia" w:eastAsia="仿宋_GB2312" w:cs="Times New Roman"/>
          <w:color w:val="auto"/>
          <w:kern w:val="0"/>
          <w:sz w:val="32"/>
          <w:szCs w:val="32"/>
          <w:highlight w:val="none"/>
          <w:lang w:val="en-US" w:eastAsia="zh-CN"/>
        </w:rPr>
        <w:t>我单位在职人员住房公积金的缴纳</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spacing w:val="-6"/>
          <w:kern w:val="0"/>
          <w:sz w:val="32"/>
          <w:szCs w:val="32"/>
          <w:highlight w:val="none"/>
        </w:rPr>
      </w:pPr>
      <w:r>
        <w:rPr>
          <w:rFonts w:hint="default" w:ascii="Times New Roman" w:hAnsi="Times New Roman" w:eastAsia="楷体_GB2312" w:cs="Times New Roman"/>
          <w:b/>
          <w:bCs/>
          <w:color w:val="auto"/>
          <w:kern w:val="0"/>
          <w:sz w:val="32"/>
          <w:szCs w:val="32"/>
          <w:highlight w:val="none"/>
        </w:rPr>
        <w:t>五、</w:t>
      </w:r>
      <w:r>
        <w:rPr>
          <w:rFonts w:hint="default" w:ascii="Times New Roman" w:hAnsi="Times New Roman" w:eastAsia="楷体_GB2312" w:cs="Times New Roman"/>
          <w:b/>
          <w:bCs/>
          <w:color w:val="auto"/>
          <w:spacing w:val="-6"/>
          <w:kern w:val="0"/>
          <w:sz w:val="32"/>
          <w:szCs w:val="32"/>
          <w:highlight w:val="none"/>
        </w:rPr>
        <w:t>关于乌鲁木齐市第127中学单位2026年一般公共预算当年拨款情况说明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乌鲁木齐市第127中学单位2026年一般公共预算拨款合计</w:t>
      </w:r>
      <w:r>
        <w:rPr>
          <w:rFonts w:hint="eastAsia" w:eastAsia="仿宋_GB2312" w:cs="Times New Roman"/>
          <w:color w:val="auto"/>
          <w:kern w:val="0"/>
          <w:sz w:val="32"/>
          <w:szCs w:val="32"/>
          <w:highlight w:val="none"/>
          <w:lang w:val="en-US" w:eastAsia="zh-CN"/>
        </w:rPr>
        <w:t>4170.36</w:t>
      </w:r>
      <w:r>
        <w:rPr>
          <w:rFonts w:hint="default" w:ascii="Times New Roman" w:hAnsi="Times New Roman" w:eastAsia="仿宋_GB2312" w:cs="Times New Roman"/>
          <w:color w:val="auto"/>
          <w:kern w:val="0"/>
          <w:sz w:val="32"/>
          <w:szCs w:val="32"/>
          <w:highlight w:val="none"/>
        </w:rPr>
        <w:t>万元，其中：</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基本支出</w:t>
      </w:r>
      <w:r>
        <w:rPr>
          <w:rFonts w:hint="eastAsia" w:eastAsia="仿宋_GB2312" w:cs="Times New Roman"/>
          <w:color w:val="auto"/>
          <w:kern w:val="0"/>
          <w:sz w:val="32"/>
          <w:szCs w:val="32"/>
          <w:highlight w:val="none"/>
          <w:lang w:val="en-US" w:eastAsia="zh-CN"/>
        </w:rPr>
        <w:t>3634.55</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30.77</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0.85</w:t>
      </w:r>
      <w:r>
        <w:rPr>
          <w:rFonts w:hint="default" w:ascii="Times New Roman" w:hAnsi="Times New Roman" w:eastAsia="仿宋_GB2312" w:cs="Times New Roman"/>
          <w:color w:val="auto"/>
          <w:kern w:val="0"/>
          <w:sz w:val="32"/>
          <w:szCs w:val="32"/>
          <w:highlight w:val="none"/>
        </w:rPr>
        <w:t xml:space="preserve"> %。主要原因是：</w:t>
      </w:r>
      <w:r>
        <w:rPr>
          <w:rFonts w:hint="eastAsia" w:ascii="Times New Roman" w:hAnsi="Times New Roman" w:eastAsia="仿宋_GB2312" w:cs="Times New Roman"/>
          <w:color w:val="auto"/>
          <w:kern w:val="0"/>
          <w:sz w:val="32"/>
          <w:szCs w:val="32"/>
          <w:highlight w:val="none"/>
          <w:lang w:val="en-US" w:eastAsia="zh-CN"/>
        </w:rPr>
        <w:t>人员工资、社保及公积金的正常增长</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项目支出</w:t>
      </w:r>
      <w:r>
        <w:rPr>
          <w:rFonts w:hint="eastAsia" w:eastAsia="仿宋_GB2312" w:cs="Times New Roman"/>
          <w:color w:val="auto"/>
          <w:kern w:val="0"/>
          <w:sz w:val="32"/>
          <w:szCs w:val="32"/>
          <w:highlight w:val="none"/>
          <w:lang w:val="en-US" w:eastAsia="zh-CN"/>
        </w:rPr>
        <w:t>535.81</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107.80</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25.19</w:t>
      </w:r>
      <w:r>
        <w:rPr>
          <w:rFonts w:hint="default" w:ascii="Times New Roman" w:hAnsi="Times New Roman" w:eastAsia="仿宋_GB2312" w:cs="Times New Roman"/>
          <w:color w:val="auto"/>
          <w:kern w:val="0"/>
          <w:sz w:val="32"/>
          <w:szCs w:val="32"/>
          <w:highlight w:val="none"/>
        </w:rPr>
        <w:t>%。主要原因是：</w:t>
      </w:r>
      <w:r>
        <w:rPr>
          <w:rFonts w:hint="default" w:ascii="Times New Roman" w:hAnsi="Times New Roman" w:eastAsia="仿宋_GB2312" w:cs="Times New Roman"/>
          <w:color w:val="auto"/>
          <w:kern w:val="0"/>
          <w:sz w:val="32"/>
          <w:szCs w:val="32"/>
          <w:highlight w:val="none"/>
          <w:lang w:eastAsia="zh-CN"/>
        </w:rPr>
        <w:t>2026年安排食堂维修改造专项经费及优均创建设施设备购置更新经费</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color w:val="auto"/>
          <w:kern w:val="0"/>
          <w:sz w:val="32"/>
          <w:szCs w:val="32"/>
          <w:highlight w:val="none"/>
          <w:lang w:val="en-US" w:eastAsia="zh-CN"/>
        </w:rPr>
      </w:pPr>
      <w:r>
        <w:rPr>
          <w:rFonts w:hint="default" w:ascii="Times New Roman" w:hAnsi="Times New Roman" w:eastAsia="仿宋_GB2312" w:cs="Times New Roman"/>
          <w:b/>
          <w:color w:val="auto"/>
          <w:kern w:val="0"/>
          <w:sz w:val="32"/>
          <w:szCs w:val="32"/>
          <w:highlight w:val="none"/>
        </w:rPr>
        <w:t>（二）一般公共预算当年拨款结构情况</w:t>
      </w:r>
      <w:r>
        <w:rPr>
          <w:rFonts w:hint="default" w:ascii="Times New Roman" w:hAnsi="Times New Roman" w:eastAsia="仿宋_GB2312" w:cs="Times New Roman"/>
          <w:b/>
          <w:color w:val="auto"/>
          <w:kern w:val="0"/>
          <w:sz w:val="32"/>
          <w:szCs w:val="32"/>
          <w:highlight w:val="none"/>
          <w:lang w:eastAsia="zh-CN"/>
        </w:rPr>
        <w:t>，</w:t>
      </w:r>
      <w:r>
        <w:rPr>
          <w:rFonts w:hint="default" w:ascii="Times New Roman" w:hAnsi="Times New Roman" w:eastAsia="仿宋_GB2312" w:cs="Times New Roman"/>
          <w:b/>
          <w:color w:val="auto"/>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1.教育支出（类）3181.99万元，占</w:t>
      </w:r>
      <w:r>
        <w:rPr>
          <w:rFonts w:hint="eastAsia" w:eastAsia="仿宋_GB2312" w:cs="Times New Roman"/>
          <w:color w:val="auto"/>
          <w:sz w:val="32"/>
          <w:szCs w:val="32"/>
          <w:highlight w:val="none"/>
          <w:lang w:val="en-US" w:eastAsia="zh-CN"/>
        </w:rPr>
        <w:t>76.30</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.社会保障和就业支出（类）535.88万元，占</w:t>
      </w:r>
      <w:r>
        <w:rPr>
          <w:rFonts w:hint="eastAsia" w:eastAsia="仿宋_GB2312" w:cs="Times New Roman"/>
          <w:color w:val="auto"/>
          <w:sz w:val="32"/>
          <w:szCs w:val="32"/>
          <w:highlight w:val="none"/>
          <w:lang w:val="en-US" w:eastAsia="zh-CN"/>
        </w:rPr>
        <w:t>12.85</w:t>
      </w:r>
      <w:r>
        <w:rPr>
          <w:rFonts w:hint="default" w:ascii="Times New Roman" w:hAnsi="Times New Roman" w:eastAsia="仿宋_GB2312" w:cs="Times New Roman"/>
          <w:color w:val="auto"/>
          <w:sz w:val="32"/>
          <w:szCs w:val="32"/>
          <w:highlight w:val="none"/>
        </w:rPr>
        <w:t>%</w:t>
      </w:r>
      <w:r>
        <w:rPr>
          <w:rFonts w:hint="default" w:eastAsia="仿宋_GB2312" w:cs="Times New Roman"/>
          <w:color w:val="auto"/>
          <w:sz w:val="32"/>
          <w:szCs w:val="32"/>
          <w:highlight w:val="none"/>
          <w:lang w:val="en-US"/>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eastAsia"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.卫生健康支出（类）224.34万元，占</w:t>
      </w:r>
      <w:r>
        <w:rPr>
          <w:rFonts w:hint="eastAsia" w:eastAsia="仿宋_GB2312" w:cs="Times New Roman"/>
          <w:color w:val="auto"/>
          <w:sz w:val="32"/>
          <w:szCs w:val="32"/>
          <w:highlight w:val="none"/>
          <w:lang w:val="en-US" w:eastAsia="zh-CN"/>
        </w:rPr>
        <w:t>5.38</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color w:val="auto"/>
          <w:highlight w:val="none"/>
        </w:rPr>
      </w:pPr>
      <w:r>
        <w:rPr>
          <w:rFonts w:hint="eastAsia"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.住房保障支出（类）228.15万元，占</w:t>
      </w:r>
      <w:r>
        <w:rPr>
          <w:rFonts w:hint="eastAsia" w:eastAsia="仿宋_GB2312" w:cs="Times New Roman"/>
          <w:color w:val="auto"/>
          <w:sz w:val="32"/>
          <w:szCs w:val="32"/>
          <w:highlight w:val="none"/>
          <w:lang w:val="en-US" w:eastAsia="zh-CN"/>
        </w:rPr>
        <w:t>5.47</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1.</w:t>
      </w:r>
      <w:r>
        <w:rPr>
          <w:rFonts w:hint="eastAsia" w:ascii="仿宋_GB2312" w:hAnsi="仿宋_GB2312" w:eastAsia="仿宋_GB2312" w:cs="仿宋_GB2312"/>
          <w:color w:val="auto"/>
          <w:kern w:val="0"/>
          <w:sz w:val="32"/>
          <w:szCs w:val="32"/>
          <w:highlight w:val="none"/>
        </w:rPr>
        <w:t>教育支出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普通教育</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rPr>
        <w:t>小学教育</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年预算数为</w:t>
      </w:r>
      <w:r>
        <w:rPr>
          <w:rFonts w:hint="eastAsia" w:eastAsia="仿宋_GB2312" w:cs="Times New Roman"/>
          <w:color w:val="auto"/>
          <w:kern w:val="0"/>
          <w:sz w:val="32"/>
          <w:szCs w:val="32"/>
          <w:highlight w:val="none"/>
          <w:lang w:val="en-US" w:eastAsia="zh-CN"/>
        </w:rPr>
        <w:t>1339.28</w:t>
      </w:r>
      <w:r>
        <w:rPr>
          <w:rFonts w:hint="default" w:ascii="Times New Roman" w:hAnsi="Times New Roman" w:eastAsia="仿宋_GB2312" w:cs="Times New Roman"/>
          <w:color w:val="auto"/>
          <w:kern w:val="0"/>
          <w:sz w:val="32"/>
          <w:szCs w:val="32"/>
          <w:highlight w:val="none"/>
        </w:rPr>
        <w:t>万元，比上年预算减少</w:t>
      </w:r>
      <w:r>
        <w:rPr>
          <w:rFonts w:hint="default" w:eastAsia="仿宋_GB2312" w:cs="Times New Roman"/>
          <w:color w:val="auto"/>
          <w:kern w:val="0"/>
          <w:sz w:val="32"/>
          <w:szCs w:val="32"/>
          <w:highlight w:val="none"/>
          <w:lang w:val="en-US"/>
        </w:rPr>
        <w:t>716.46</w:t>
      </w:r>
      <w:r>
        <w:rPr>
          <w:rFonts w:hint="default" w:ascii="Times New Roman" w:hAnsi="Times New Roman" w:eastAsia="仿宋_GB2312" w:cs="Times New Roman"/>
          <w:color w:val="auto"/>
          <w:kern w:val="0"/>
          <w:sz w:val="32"/>
          <w:szCs w:val="32"/>
          <w:highlight w:val="none"/>
        </w:rPr>
        <w:t>万元，下降</w:t>
      </w:r>
      <w:r>
        <w:rPr>
          <w:rFonts w:hint="default" w:eastAsia="仿宋_GB2312" w:cs="Times New Roman"/>
          <w:color w:val="auto"/>
          <w:kern w:val="0"/>
          <w:sz w:val="32"/>
          <w:szCs w:val="32"/>
          <w:highlight w:val="none"/>
          <w:lang w:val="en-US"/>
        </w:rPr>
        <w:t>34.85</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eastAsia="zh-CN"/>
        </w:rPr>
        <w:t>：</w:t>
      </w:r>
      <w:r>
        <w:rPr>
          <w:rFonts w:hint="eastAsia" w:eastAsia="仿宋_GB2312" w:cs="Times New Roman"/>
          <w:color w:val="auto"/>
          <w:kern w:val="0"/>
          <w:sz w:val="32"/>
          <w:szCs w:val="32"/>
          <w:highlight w:val="none"/>
          <w:lang w:val="en-US" w:eastAsia="zh-CN"/>
        </w:rPr>
        <w:t>人员经费中医疗保险、公务员医疗补助、公积金以及退休人员经费等不通过教育支出</w:t>
      </w:r>
      <w:r>
        <w:rPr>
          <w:rFonts w:hint="eastAsia" w:ascii="仿宋_GB2312" w:hAnsi="仿宋_GB2312" w:eastAsia="仿宋_GB2312" w:cs="仿宋_GB2312"/>
          <w:color w:val="auto"/>
          <w:kern w:val="0"/>
          <w:sz w:val="32"/>
          <w:szCs w:val="32"/>
          <w:highlight w:val="none"/>
          <w:lang w:val="en-US" w:eastAsia="zh-CN"/>
        </w:rPr>
        <w:t>功能分类</w:t>
      </w:r>
      <w:r>
        <w:rPr>
          <w:rFonts w:hint="eastAsia"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w:t>
      </w:r>
      <w:r>
        <w:rPr>
          <w:rFonts w:hint="eastAsia" w:ascii="仿宋_GB2312" w:hAnsi="仿宋_GB2312" w:eastAsia="仿宋_GB2312" w:cs="仿宋_GB2312"/>
          <w:color w:val="auto"/>
          <w:kern w:val="0"/>
          <w:sz w:val="32"/>
          <w:szCs w:val="32"/>
          <w:highlight w:val="none"/>
        </w:rPr>
        <w:t>教育支出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普通教育</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初中</w:t>
      </w:r>
      <w:r>
        <w:rPr>
          <w:rFonts w:hint="eastAsia" w:ascii="仿宋_GB2312" w:hAnsi="仿宋_GB2312" w:eastAsia="仿宋_GB2312" w:cs="仿宋_GB2312"/>
          <w:color w:val="auto"/>
          <w:kern w:val="0"/>
          <w:sz w:val="32"/>
          <w:szCs w:val="32"/>
          <w:highlight w:val="none"/>
        </w:rPr>
        <w:t>教育</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年预算数为</w:t>
      </w:r>
      <w:r>
        <w:rPr>
          <w:rFonts w:hint="eastAsia" w:eastAsia="仿宋_GB2312" w:cs="Times New Roman"/>
          <w:color w:val="auto"/>
          <w:kern w:val="0"/>
          <w:sz w:val="32"/>
          <w:szCs w:val="32"/>
          <w:highlight w:val="none"/>
          <w:lang w:val="en-US" w:eastAsia="zh-CN"/>
        </w:rPr>
        <w:t>1836.09</w:t>
      </w:r>
      <w:r>
        <w:rPr>
          <w:rFonts w:hint="default" w:ascii="Times New Roman" w:hAnsi="Times New Roman" w:eastAsia="仿宋_GB2312" w:cs="Times New Roman"/>
          <w:color w:val="auto"/>
          <w:kern w:val="0"/>
          <w:sz w:val="32"/>
          <w:szCs w:val="32"/>
          <w:highlight w:val="none"/>
        </w:rPr>
        <w:t>万元，比上年预算减少</w:t>
      </w:r>
      <w:r>
        <w:rPr>
          <w:rFonts w:hint="eastAsia" w:eastAsia="仿宋_GB2312" w:cs="Times New Roman"/>
          <w:color w:val="auto"/>
          <w:kern w:val="0"/>
          <w:sz w:val="32"/>
          <w:szCs w:val="32"/>
          <w:highlight w:val="none"/>
          <w:lang w:val="en-US" w:eastAsia="zh-CN"/>
        </w:rPr>
        <w:t>135.32</w:t>
      </w:r>
      <w:r>
        <w:rPr>
          <w:rFonts w:hint="default" w:ascii="Times New Roman" w:hAnsi="Times New Roman" w:eastAsia="仿宋_GB2312" w:cs="Times New Roman"/>
          <w:color w:val="auto"/>
          <w:kern w:val="0"/>
          <w:sz w:val="32"/>
          <w:szCs w:val="32"/>
          <w:highlight w:val="none"/>
        </w:rPr>
        <w:t>万元，下降</w:t>
      </w:r>
      <w:r>
        <w:rPr>
          <w:rFonts w:hint="eastAsia" w:eastAsia="仿宋_GB2312" w:cs="Times New Roman"/>
          <w:color w:val="auto"/>
          <w:kern w:val="0"/>
          <w:sz w:val="32"/>
          <w:szCs w:val="32"/>
          <w:highlight w:val="none"/>
          <w:lang w:val="en-US" w:eastAsia="zh-CN"/>
        </w:rPr>
        <w:t>6.86</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人员经费中医疗保险、公务员医疗补助、公积金以及退休人员经费等不通过教育支出</w:t>
      </w:r>
      <w:r>
        <w:rPr>
          <w:rFonts w:hint="eastAsia" w:ascii="仿宋_GB2312" w:hAnsi="仿宋_GB2312" w:eastAsia="仿宋_GB2312" w:cs="仿宋_GB2312"/>
          <w:color w:val="auto"/>
          <w:kern w:val="0"/>
          <w:sz w:val="32"/>
          <w:szCs w:val="32"/>
          <w:highlight w:val="none"/>
          <w:lang w:val="en-US" w:eastAsia="zh-CN"/>
        </w:rPr>
        <w:t>功能分类</w:t>
      </w:r>
      <w:r>
        <w:rPr>
          <w:rFonts w:hint="eastAsia"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rPr>
        <w:t>.</w:t>
      </w:r>
      <w:r>
        <w:rPr>
          <w:rFonts w:hint="eastAsia" w:ascii="仿宋_GB2312" w:hAnsi="仿宋_GB2312" w:eastAsia="仿宋_GB2312" w:cs="仿宋_GB2312"/>
          <w:color w:val="auto"/>
          <w:kern w:val="0"/>
          <w:sz w:val="32"/>
          <w:szCs w:val="32"/>
          <w:highlight w:val="none"/>
        </w:rPr>
        <w:t>教育支出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特殊教育</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其他特殊教育支出</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w:t>
      </w:r>
      <w:r>
        <w:rPr>
          <w:rFonts w:hint="eastAsia" w:eastAsia="仿宋_GB2312" w:cs="Times New Roman"/>
          <w:color w:val="auto"/>
          <w:kern w:val="0"/>
          <w:sz w:val="32"/>
          <w:szCs w:val="32"/>
          <w:highlight w:val="none"/>
          <w:lang w:val="en-US" w:eastAsia="zh-CN"/>
        </w:rPr>
        <w:t>6.62</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2.16</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48.43</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2026年随班就读学生人数增多，故2026年预算中特殊教育经费增多。</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4</w:t>
      </w:r>
      <w:r>
        <w:rPr>
          <w:rFonts w:hint="default" w:ascii="Times New Roman" w:hAnsi="Times New Roman" w:eastAsia="仿宋_GB2312" w:cs="Times New Roman"/>
          <w:color w:val="auto"/>
          <w:kern w:val="0"/>
          <w:sz w:val="32"/>
          <w:szCs w:val="32"/>
          <w:highlight w:val="none"/>
        </w:rPr>
        <w:t>.</w:t>
      </w:r>
      <w:r>
        <w:rPr>
          <w:rFonts w:hint="eastAsia" w:ascii="仿宋_GB2312" w:hAnsi="仿宋_GB2312" w:eastAsia="仿宋_GB2312" w:cs="仿宋_GB2312"/>
          <w:color w:val="auto"/>
          <w:kern w:val="0"/>
          <w:sz w:val="32"/>
          <w:szCs w:val="32"/>
          <w:highlight w:val="none"/>
        </w:rPr>
        <w:t>社会保障和就业支出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行政事业单位养老支出</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事业单位离退休</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w:t>
      </w:r>
      <w:r>
        <w:rPr>
          <w:rFonts w:hint="eastAsia" w:eastAsia="仿宋_GB2312" w:cs="Times New Roman"/>
          <w:color w:val="auto"/>
          <w:kern w:val="0"/>
          <w:sz w:val="32"/>
          <w:szCs w:val="32"/>
          <w:highlight w:val="none"/>
          <w:lang w:val="en-US" w:eastAsia="zh-CN"/>
        </w:rPr>
        <w:t>79.58</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79.58</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100.00</w:t>
      </w:r>
      <w:commentRangeStart w:id="1"/>
      <w:r>
        <w:rPr>
          <w:rFonts w:hint="eastAsia" w:eastAsia="仿宋_GB2312" w:cs="Times New Roman"/>
          <w:color w:val="auto"/>
          <w:kern w:val="0"/>
          <w:sz w:val="32"/>
          <w:szCs w:val="32"/>
          <w:highlight w:val="none"/>
          <w:lang w:val="en-US" w:eastAsia="zh-CN"/>
        </w:rPr>
        <w:t>%</w:t>
      </w:r>
      <w:commentRangeEnd w:id="1"/>
      <w:r>
        <w:rPr>
          <w:color w:val="auto"/>
          <w:highlight w:val="none"/>
        </w:rPr>
        <w:commentReference w:id="1"/>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2026年预算中退休人员活动经费、退休人员独生子女费以及退休人员奖金通过</w:t>
      </w:r>
      <w:r>
        <w:rPr>
          <w:rFonts w:hint="eastAsia" w:ascii="仿宋_GB2312" w:hAnsi="仿宋_GB2312" w:eastAsia="仿宋_GB2312" w:cs="仿宋_GB2312"/>
          <w:color w:val="auto"/>
          <w:kern w:val="0"/>
          <w:sz w:val="32"/>
          <w:szCs w:val="32"/>
          <w:highlight w:val="none"/>
          <w:lang w:val="en-US" w:eastAsia="zh-CN"/>
        </w:rPr>
        <w:t>事业单位离退休功能分类</w:t>
      </w:r>
      <w:r>
        <w:rPr>
          <w:color w:val="auto"/>
          <w:highlight w:val="none"/>
        </w:rPr>
        <w:commentReference w:id="2"/>
      </w:r>
      <w:r>
        <w:rPr>
          <w:rFonts w:hint="eastAsia" w:ascii="仿宋_GB2312" w:hAnsi="仿宋_GB2312" w:eastAsia="仿宋_GB2312" w:cs="仿宋_GB2312"/>
          <w:color w:val="auto"/>
          <w:kern w:val="0"/>
          <w:sz w:val="32"/>
          <w:szCs w:val="32"/>
          <w:highlight w:val="none"/>
          <w:lang w:val="en-US" w:eastAsia="zh-CN"/>
        </w:rPr>
        <w:t>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color w:val="auto"/>
          <w:highlight w:val="none"/>
        </w:rPr>
      </w:pPr>
      <w:r>
        <w:rPr>
          <w:rFonts w:hint="eastAsia" w:eastAsia="仿宋_GB2312" w:cs="Times New Roman"/>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社会保障和就业支出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行政事业单位养老支出</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机关事业单位基本养老保险缴费支出</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年预算数304.</w:t>
      </w:r>
      <w:r>
        <w:rPr>
          <w:rFonts w:hint="eastAsia" w:eastAsia="仿宋_GB2312" w:cs="Times New Roman"/>
          <w:color w:val="auto"/>
          <w:kern w:val="0"/>
          <w:sz w:val="32"/>
          <w:szCs w:val="32"/>
          <w:highlight w:val="none"/>
          <w:lang w:val="en-US" w:eastAsia="zh-CN"/>
        </w:rPr>
        <w:t>20</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304.20</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100.00%</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2026年预算中在职人员养老保险通过</w:t>
      </w:r>
      <w:r>
        <w:rPr>
          <w:rFonts w:hint="eastAsia" w:ascii="仿宋_GB2312" w:hAnsi="仿宋_GB2312" w:eastAsia="仿宋_GB2312" w:cs="仿宋_GB2312"/>
          <w:color w:val="auto"/>
          <w:kern w:val="0"/>
          <w:sz w:val="32"/>
          <w:szCs w:val="32"/>
          <w:highlight w:val="none"/>
          <w:lang w:val="en-US" w:eastAsia="zh-CN"/>
        </w:rPr>
        <w:t>机关事业单位基本养老保险缴费支出功能分类安排。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社会保障和就业支出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行政事业单位养老支出</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机关事业单位职业年金缴费支出</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w:t>
      </w:r>
      <w:r>
        <w:rPr>
          <w:rFonts w:hint="eastAsia" w:eastAsia="仿宋_GB2312" w:cs="Times New Roman"/>
          <w:color w:val="auto"/>
          <w:kern w:val="0"/>
          <w:sz w:val="32"/>
          <w:szCs w:val="32"/>
          <w:highlight w:val="none"/>
          <w:lang w:val="en-US" w:eastAsia="zh-CN"/>
        </w:rPr>
        <w:t>152.10</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152.10</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100.00%</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根据</w:t>
      </w:r>
      <w:r>
        <w:rPr>
          <w:rFonts w:hint="eastAsia" w:ascii="Times New Roman" w:hAnsi="Times New Roman" w:eastAsia="仿宋_GB2312" w:cs="Times New Roman"/>
          <w:color w:val="auto"/>
          <w:kern w:val="0"/>
          <w:sz w:val="32"/>
          <w:szCs w:val="32"/>
          <w:highlight w:val="none"/>
          <w:lang w:val="en-US" w:eastAsia="zh-CN"/>
        </w:rPr>
        <w:t>《关于印发&lt;新疆维吾尔自治区职业年金单位缴费实账管理实施方案&gt;的通知》（新人社发〔2025〕18号）有关规定，按照工资总额8%的比例安排在职人员职</w:t>
      </w:r>
      <w:r>
        <w:rPr>
          <w:rFonts w:hint="eastAsia" w:eastAsia="仿宋_GB2312" w:cs="Times New Roman"/>
          <w:color w:val="auto"/>
          <w:kern w:val="0"/>
          <w:sz w:val="32"/>
          <w:szCs w:val="32"/>
          <w:highlight w:val="none"/>
          <w:lang w:val="en-US" w:eastAsia="zh-CN"/>
        </w:rPr>
        <w:t>业年金单位缴费部分</w:t>
      </w:r>
      <w:r>
        <w:rPr>
          <w:rFonts w:hint="eastAsia" w:ascii="仿宋_GB2312" w:hAnsi="仿宋_GB2312" w:eastAsia="仿宋_GB2312" w:cs="仿宋_GB2312"/>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7.</w:t>
      </w:r>
      <w:r>
        <w:rPr>
          <w:rFonts w:hint="eastAsia" w:ascii="仿宋_GB2312" w:hAnsi="仿宋_GB2312" w:eastAsia="仿宋_GB2312" w:cs="仿宋_GB2312"/>
          <w:color w:val="auto"/>
          <w:kern w:val="0"/>
          <w:sz w:val="32"/>
          <w:szCs w:val="32"/>
          <w:highlight w:val="none"/>
        </w:rPr>
        <w:t>卫生健康支出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行政事业单位医疗</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事业单位医疗</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年预算数186.32万元，比上年预算增加</w:t>
      </w:r>
      <w:r>
        <w:rPr>
          <w:rFonts w:hint="eastAsia" w:eastAsia="仿宋_GB2312" w:cs="Times New Roman"/>
          <w:color w:val="auto"/>
          <w:kern w:val="0"/>
          <w:sz w:val="32"/>
          <w:szCs w:val="32"/>
          <w:highlight w:val="none"/>
          <w:lang w:val="en-US" w:eastAsia="zh-CN"/>
        </w:rPr>
        <w:t>186.32</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100.00%</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2026年预算中在职人员医疗保险通过</w:t>
      </w:r>
      <w:r>
        <w:rPr>
          <w:rFonts w:hint="eastAsia" w:ascii="仿宋_GB2312" w:hAnsi="仿宋_GB2312" w:eastAsia="仿宋_GB2312" w:cs="仿宋_GB2312"/>
          <w:color w:val="auto"/>
          <w:kern w:val="0"/>
          <w:sz w:val="32"/>
          <w:szCs w:val="32"/>
          <w:highlight w:val="none"/>
          <w:lang w:val="en-US" w:eastAsia="zh-CN"/>
        </w:rPr>
        <w:t>事业单位医疗功能分类安排。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8.</w:t>
      </w:r>
      <w:r>
        <w:rPr>
          <w:rFonts w:hint="eastAsia" w:ascii="仿宋_GB2312" w:hAnsi="仿宋_GB2312" w:eastAsia="仿宋_GB2312" w:cs="仿宋_GB2312"/>
          <w:color w:val="auto"/>
          <w:kern w:val="0"/>
          <w:sz w:val="32"/>
          <w:szCs w:val="32"/>
          <w:highlight w:val="none"/>
        </w:rPr>
        <w:t>卫生健康支出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行政事业单位医疗</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公务员医疗补助</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w:t>
      </w:r>
      <w:r>
        <w:rPr>
          <w:rFonts w:hint="eastAsia" w:eastAsia="仿宋_GB2312" w:cs="Times New Roman"/>
          <w:color w:val="auto"/>
          <w:kern w:val="0"/>
          <w:sz w:val="32"/>
          <w:szCs w:val="32"/>
          <w:highlight w:val="none"/>
          <w:lang w:val="en-US" w:eastAsia="zh-CN"/>
        </w:rPr>
        <w:t>38.02</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38.02</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100.00%</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2026年预算中在职人员公务员补助通过</w:t>
      </w:r>
      <w:r>
        <w:rPr>
          <w:rFonts w:hint="eastAsia" w:ascii="仿宋_GB2312" w:hAnsi="仿宋_GB2312" w:eastAsia="仿宋_GB2312" w:cs="仿宋_GB2312"/>
          <w:color w:val="auto"/>
          <w:kern w:val="0"/>
          <w:sz w:val="32"/>
          <w:szCs w:val="32"/>
          <w:highlight w:val="none"/>
          <w:lang w:val="en-US" w:eastAsia="zh-CN"/>
        </w:rPr>
        <w:t>公务员医疗补助功能分类安排。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color w:val="auto"/>
          <w:highlight w:val="none"/>
        </w:rPr>
      </w:pPr>
      <w:r>
        <w:rPr>
          <w:rFonts w:hint="eastAsia" w:eastAsia="仿宋_GB2312" w:cs="Times New Roman"/>
          <w:color w:val="auto"/>
          <w:kern w:val="0"/>
          <w:sz w:val="32"/>
          <w:szCs w:val="32"/>
          <w:highlight w:val="none"/>
          <w:lang w:val="en-US" w:eastAsia="zh-CN"/>
        </w:rPr>
        <w:t>9.</w:t>
      </w:r>
      <w:r>
        <w:rPr>
          <w:rFonts w:hint="eastAsia" w:ascii="仿宋_GB2312" w:hAnsi="仿宋_GB2312" w:eastAsia="仿宋_GB2312" w:cs="仿宋_GB2312"/>
          <w:color w:val="auto"/>
          <w:kern w:val="0"/>
          <w:sz w:val="32"/>
          <w:szCs w:val="32"/>
          <w:highlight w:val="none"/>
        </w:rPr>
        <w:t>住房保障支出</w:t>
      </w:r>
      <w:r>
        <w:rPr>
          <w:rFonts w:hint="default" w:ascii="Times New Roman" w:hAnsi="Times New Roman" w:eastAsia="仿宋_GB2312" w:cs="Times New Roman"/>
          <w:color w:val="auto"/>
          <w:kern w:val="0"/>
          <w:sz w:val="32"/>
          <w:szCs w:val="32"/>
          <w:highlight w:val="none"/>
        </w:rPr>
        <w:t>（类）</w:t>
      </w:r>
      <w:r>
        <w:rPr>
          <w:rFonts w:hint="eastAsia" w:ascii="仿宋_GB2312" w:hAnsi="仿宋_GB2312" w:eastAsia="仿宋_GB2312" w:cs="仿宋_GB2312"/>
          <w:color w:val="auto"/>
          <w:kern w:val="0"/>
          <w:sz w:val="32"/>
          <w:szCs w:val="32"/>
          <w:highlight w:val="none"/>
        </w:rPr>
        <w:t>住房改革支出</w:t>
      </w:r>
      <w:r>
        <w:rPr>
          <w:rFonts w:hint="default" w:ascii="Times New Roman" w:hAnsi="Times New Roman" w:eastAsia="仿宋_GB2312" w:cs="Times New Roman"/>
          <w:color w:val="auto"/>
          <w:kern w:val="0"/>
          <w:sz w:val="32"/>
          <w:szCs w:val="32"/>
          <w:highlight w:val="none"/>
        </w:rPr>
        <w:t>（款）</w:t>
      </w:r>
      <w:r>
        <w:rPr>
          <w:rFonts w:hint="eastAsia" w:ascii="仿宋_GB2312" w:hAnsi="仿宋_GB2312" w:eastAsia="仿宋_GB2312" w:cs="仿宋_GB2312"/>
          <w:color w:val="auto"/>
          <w:kern w:val="0"/>
          <w:sz w:val="32"/>
          <w:szCs w:val="32"/>
          <w:highlight w:val="none"/>
          <w:lang w:val="en-US" w:eastAsia="zh-CN"/>
        </w:rPr>
        <w:t>住房公积金</w:t>
      </w:r>
      <w:r>
        <w:rPr>
          <w:rFonts w:hint="default" w:ascii="Times New Roman" w:hAnsi="Times New Roman" w:eastAsia="仿宋_GB2312" w:cs="Times New Roman"/>
          <w:color w:val="auto"/>
          <w:kern w:val="0"/>
          <w:sz w:val="32"/>
          <w:szCs w:val="32"/>
          <w:highlight w:val="none"/>
        </w:rPr>
        <w:t>（项）:</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年预算数</w:t>
      </w:r>
      <w:r>
        <w:rPr>
          <w:rFonts w:hint="eastAsia" w:eastAsia="仿宋_GB2312" w:cs="Times New Roman"/>
          <w:color w:val="auto"/>
          <w:kern w:val="0"/>
          <w:sz w:val="32"/>
          <w:szCs w:val="32"/>
          <w:highlight w:val="none"/>
          <w:lang w:val="en-US" w:eastAsia="zh-CN"/>
        </w:rPr>
        <w:t>228.15</w:t>
      </w:r>
      <w:r>
        <w:rPr>
          <w:rFonts w:hint="default" w:ascii="Times New Roman" w:hAnsi="Times New Roman" w:eastAsia="仿宋_GB2312" w:cs="Times New Roman"/>
          <w:color w:val="auto"/>
          <w:kern w:val="0"/>
          <w:sz w:val="32"/>
          <w:szCs w:val="32"/>
          <w:highlight w:val="none"/>
        </w:rPr>
        <w:t>万元，比上年预算增加</w:t>
      </w:r>
      <w:r>
        <w:rPr>
          <w:rFonts w:hint="eastAsia" w:eastAsia="仿宋_GB2312" w:cs="Times New Roman"/>
          <w:color w:val="auto"/>
          <w:kern w:val="0"/>
          <w:sz w:val="32"/>
          <w:szCs w:val="32"/>
          <w:highlight w:val="none"/>
          <w:lang w:val="en-US" w:eastAsia="zh-CN"/>
        </w:rPr>
        <w:t>228.15</w:t>
      </w:r>
      <w:r>
        <w:rPr>
          <w:rFonts w:hint="default" w:ascii="Times New Roman" w:hAnsi="Times New Roman" w:eastAsia="仿宋_GB2312" w:cs="Times New Roman"/>
          <w:color w:val="auto"/>
          <w:kern w:val="0"/>
          <w:sz w:val="32"/>
          <w:szCs w:val="32"/>
          <w:highlight w:val="none"/>
        </w:rPr>
        <w:t>万元，增长</w:t>
      </w:r>
      <w:r>
        <w:rPr>
          <w:rFonts w:hint="eastAsia" w:eastAsia="仿宋_GB2312" w:cs="Times New Roman"/>
          <w:color w:val="auto"/>
          <w:kern w:val="0"/>
          <w:sz w:val="32"/>
          <w:szCs w:val="32"/>
          <w:highlight w:val="none"/>
          <w:lang w:val="en-US" w:eastAsia="zh-CN"/>
        </w:rPr>
        <w:t>100.00%</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2026年预算中在职人员住房公积金通过</w:t>
      </w:r>
      <w:r>
        <w:rPr>
          <w:rFonts w:hint="eastAsia" w:ascii="仿宋_GB2312" w:hAnsi="仿宋_GB2312" w:eastAsia="仿宋_GB2312" w:cs="仿宋_GB2312"/>
          <w:color w:val="auto"/>
          <w:kern w:val="0"/>
          <w:sz w:val="32"/>
          <w:szCs w:val="32"/>
          <w:highlight w:val="none"/>
          <w:lang w:val="en-US" w:eastAsia="zh-CN"/>
        </w:rPr>
        <w:t>住房公积金功能分类安排。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spacing w:val="-6"/>
          <w:kern w:val="0"/>
          <w:sz w:val="32"/>
          <w:szCs w:val="32"/>
          <w:highlight w:val="none"/>
        </w:rPr>
      </w:pPr>
      <w:r>
        <w:rPr>
          <w:rFonts w:hint="default" w:ascii="Times New Roman" w:hAnsi="Times New Roman" w:eastAsia="楷体_GB2312" w:cs="Times New Roman"/>
          <w:b/>
          <w:bCs/>
          <w:color w:val="auto"/>
          <w:kern w:val="0"/>
          <w:sz w:val="32"/>
          <w:szCs w:val="32"/>
          <w:highlight w:val="none"/>
        </w:rPr>
        <w:t>六、</w:t>
      </w:r>
      <w:r>
        <w:rPr>
          <w:rFonts w:hint="default" w:ascii="Times New Roman" w:hAnsi="Times New Roman" w:eastAsia="楷体_GB2312" w:cs="Times New Roman"/>
          <w:b/>
          <w:bCs/>
          <w:color w:val="auto"/>
          <w:spacing w:val="-6"/>
          <w:kern w:val="0"/>
          <w:sz w:val="32"/>
          <w:szCs w:val="32"/>
          <w:highlight w:val="none"/>
        </w:rPr>
        <w:t>关于乌鲁木齐市第127中学单位2026年一般公共预算基本支出情况说明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w:t>
      </w:r>
      <w:r>
        <w:rPr>
          <w:rFonts w:hint="default" w:ascii="Times New Roman" w:hAnsi="Times New Roman" w:eastAsia="仿宋_GB2312" w:cs="Times New Roman"/>
          <w:color w:val="auto"/>
          <w:spacing w:val="-6"/>
          <w:kern w:val="0"/>
          <w:sz w:val="32"/>
          <w:szCs w:val="32"/>
          <w:highlight w:val="none"/>
        </w:rPr>
        <w:t>一般公共预算基本支出</w:t>
      </w:r>
      <w:r>
        <w:rPr>
          <w:rFonts w:hint="eastAsia" w:eastAsia="仿宋_GB2312" w:cs="Times New Roman"/>
          <w:color w:val="auto"/>
          <w:spacing w:val="-6"/>
          <w:kern w:val="0"/>
          <w:sz w:val="32"/>
          <w:szCs w:val="32"/>
          <w:highlight w:val="none"/>
          <w:lang w:val="en-US" w:eastAsia="zh-CN"/>
        </w:rPr>
        <w:t>3634.55</w:t>
      </w:r>
      <w:r>
        <w:rPr>
          <w:rFonts w:hint="default" w:ascii="Times New Roman" w:hAnsi="Times New Roman" w:eastAsia="仿宋_GB2312" w:cs="Times New Roman"/>
          <w:color w:val="auto"/>
          <w:spacing w:val="-6"/>
          <w:kern w:val="0"/>
          <w:sz w:val="32"/>
          <w:szCs w:val="32"/>
          <w:highlight w:val="none"/>
        </w:rPr>
        <w:t>万元</w:t>
      </w:r>
      <w:r>
        <w:rPr>
          <w:rFonts w:hint="default" w:ascii="Times New Roman" w:hAnsi="Times New Roman" w:eastAsia="仿宋_GB2312" w:cs="Times New Roman"/>
          <w:color w:val="auto"/>
          <w:kern w:val="0"/>
          <w:sz w:val="32"/>
          <w:szCs w:val="32"/>
          <w:highlight w:val="none"/>
        </w:rPr>
        <w:t>，其中：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人员经费</w:t>
      </w:r>
      <w:r>
        <w:rPr>
          <w:rFonts w:hint="eastAsia" w:ascii="Times New Roman" w:hAnsi="Times New Roman" w:eastAsia="仿宋_GB2312" w:cs="Times New Roman"/>
          <w:color w:val="auto"/>
          <w:kern w:val="0"/>
          <w:sz w:val="32"/>
          <w:szCs w:val="32"/>
          <w:highlight w:val="none"/>
          <w:lang w:val="en-US" w:eastAsia="zh-CN"/>
        </w:rPr>
        <w:t>3409.17</w:t>
      </w:r>
      <w:r>
        <w:rPr>
          <w:rFonts w:hint="default" w:ascii="Times New Roman" w:hAnsi="Times New Roman" w:eastAsia="仿宋_GB2312" w:cs="Times New Roman"/>
          <w:color w:val="auto"/>
          <w:kern w:val="0"/>
          <w:sz w:val="32"/>
          <w:szCs w:val="32"/>
          <w:highlight w:val="none"/>
        </w:rPr>
        <w:t>万元，主要包括：基本工资、津贴补贴、奖金、绩效工资、机关事业单位基本养老保险缴费、职业年金缴费、职工基本医疗保险缴费、公务员医疗补助缴费、其他社会保障缴费、住房公积金、其他工资福利支出、退休费、奖励金、其他对个人和家庭的补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公用经费</w:t>
      </w:r>
      <w:r>
        <w:rPr>
          <w:rFonts w:hint="eastAsia" w:ascii="Times New Roman" w:hAnsi="Times New Roman" w:eastAsia="仿宋_GB2312" w:cs="Times New Roman"/>
          <w:color w:val="auto"/>
          <w:kern w:val="0"/>
          <w:sz w:val="32"/>
          <w:szCs w:val="32"/>
          <w:highlight w:val="none"/>
          <w:lang w:val="en-US" w:eastAsia="zh-CN"/>
        </w:rPr>
        <w:t>225.38</w:t>
      </w:r>
      <w:r>
        <w:rPr>
          <w:rFonts w:hint="default" w:ascii="Times New Roman" w:hAnsi="Times New Roman" w:eastAsia="仿宋_GB2312" w:cs="Times New Roman"/>
          <w:color w:val="auto"/>
          <w:kern w:val="0"/>
          <w:sz w:val="32"/>
          <w:szCs w:val="32"/>
          <w:highlight w:val="none"/>
        </w:rPr>
        <w:t>万元，主要包括：水费、电费、邮电费、培训费、劳务费、工会经费、公务用车运行维护费、其他商品和服务支出。</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spacing w:val="-6"/>
          <w:kern w:val="0"/>
          <w:sz w:val="32"/>
          <w:szCs w:val="32"/>
          <w:highlight w:val="none"/>
        </w:rPr>
      </w:pPr>
      <w:r>
        <w:rPr>
          <w:rFonts w:hint="default" w:ascii="Times New Roman" w:hAnsi="Times New Roman" w:eastAsia="楷体_GB2312" w:cs="Times New Roman"/>
          <w:b/>
          <w:bCs/>
          <w:color w:val="auto"/>
          <w:kern w:val="0"/>
          <w:sz w:val="32"/>
          <w:szCs w:val="32"/>
          <w:highlight w:val="none"/>
        </w:rPr>
        <w:t>七、</w:t>
      </w:r>
      <w:r>
        <w:rPr>
          <w:rFonts w:hint="default" w:ascii="Times New Roman" w:hAnsi="Times New Roman" w:eastAsia="楷体_GB2312" w:cs="Times New Roman"/>
          <w:b/>
          <w:bCs/>
          <w:color w:val="auto"/>
          <w:spacing w:val="-6"/>
          <w:kern w:val="0"/>
          <w:sz w:val="32"/>
          <w:szCs w:val="32"/>
          <w:highlight w:val="none"/>
        </w:rPr>
        <w:t>关于乌鲁木齐市第127中学单位2026年一般公共预算项目支出情况说明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hAnsi="黑体" w:eastAsia="仿宋_GB2312"/>
          <w:color w:val="auto"/>
          <w:sz w:val="32"/>
          <w:szCs w:val="32"/>
          <w:highlight w:val="none"/>
        </w:rPr>
      </w:pPr>
      <w:commentRangeStart w:id="3"/>
      <w:r>
        <w:rPr>
          <w:rFonts w:hint="eastAsia" w:ascii="仿宋_GB2312" w:hAnsi="黑体" w:eastAsia="仿宋_GB2312"/>
          <w:color w:val="auto"/>
          <w:sz w:val="32"/>
          <w:szCs w:val="32"/>
          <w:highlight w:val="none"/>
          <w:lang w:eastAsia="zh-CN"/>
        </w:rPr>
        <w:t>（一）</w:t>
      </w:r>
      <w:r>
        <w:rPr>
          <w:rFonts w:hint="eastAsia" w:ascii="仿宋_GB2312" w:hAnsi="黑体" w:eastAsia="仿宋_GB2312"/>
          <w:color w:val="auto"/>
          <w:sz w:val="32"/>
          <w:szCs w:val="32"/>
          <w:highlight w:val="none"/>
        </w:rPr>
        <w:t>项目</w:t>
      </w:r>
      <w:r>
        <w:rPr>
          <w:rFonts w:ascii="仿宋_GB2312" w:hAnsi="黑体" w:eastAsia="仿宋_GB2312"/>
          <w:color w:val="auto"/>
          <w:sz w:val="32"/>
          <w:szCs w:val="32"/>
          <w:highlight w:val="none"/>
        </w:rPr>
        <w:t>名称</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rPr>
        <w:t>城乡义务教育经费</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hAnsi="黑体" w:eastAsia="仿宋_GB2312"/>
          <w:color w:val="auto"/>
          <w:sz w:val="32"/>
          <w:szCs w:val="32"/>
          <w:highlight w:val="none"/>
        </w:rPr>
      </w:pPr>
      <w:r>
        <w:rPr>
          <w:rFonts w:ascii="仿宋_GB2312" w:hAnsi="黑体" w:eastAsia="仿宋_GB2312"/>
          <w:color w:val="auto"/>
          <w:sz w:val="32"/>
          <w:szCs w:val="32"/>
          <w:highlight w:val="none"/>
        </w:rPr>
        <w:t>设立的政策依据</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rPr>
        <w:t>《关于修订&lt;新疆维吾尔自治区城乡义务教育“两免一补”资金管理办法&gt;的通知》（新财规〔2020〕10号）、《财政部 教育部关于下达2023年城乡义务教育补助经费预算的通知》（财教〔2023〕64号）、《财政部 教育部关于下达2024年城乡义务教育补助经费预算的通知》（财教〔2024〕64号）</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宋体"/>
          <w:color w:val="auto"/>
          <w:kern w:val="0"/>
          <w:sz w:val="32"/>
          <w:szCs w:val="32"/>
          <w:highlight w:val="none"/>
          <w:lang w:val="en-US" w:eastAsia="zh-CN"/>
        </w:rPr>
      </w:pPr>
      <w:r>
        <w:rPr>
          <w:rFonts w:ascii="仿宋_GB2312" w:hAnsi="黑体" w:eastAsia="仿宋_GB2312"/>
          <w:color w:val="auto"/>
          <w:sz w:val="32"/>
          <w:szCs w:val="32"/>
          <w:highlight w:val="none"/>
        </w:rPr>
        <w:t>预算安排规模</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lang w:val="en-US" w:eastAsia="zh-CN"/>
        </w:rPr>
        <w:t>350.16万元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hAnsi="黑体" w:eastAsia="仿宋_GB2312"/>
          <w:color w:val="auto"/>
          <w:sz w:val="32"/>
          <w:szCs w:val="32"/>
          <w:highlight w:val="none"/>
        </w:rPr>
      </w:pPr>
      <w:r>
        <w:rPr>
          <w:rFonts w:ascii="仿宋_GB2312" w:hAnsi="黑体" w:eastAsia="仿宋_GB2312"/>
          <w:color w:val="auto"/>
          <w:sz w:val="32"/>
          <w:szCs w:val="32"/>
          <w:highlight w:val="none"/>
        </w:rPr>
        <w:t>项目承担单位</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rPr>
        <w:t>乌鲁木齐市第127中学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黑体" w:eastAsia="宋体"/>
          <w:color w:val="auto"/>
          <w:sz w:val="32"/>
          <w:szCs w:val="32"/>
          <w:highlight w:val="none"/>
          <w:lang w:val="en-US" w:eastAsia="zh-CN"/>
        </w:rPr>
      </w:pPr>
      <w:r>
        <w:rPr>
          <w:rFonts w:ascii="仿宋_GB2312" w:hAnsi="黑体" w:eastAsia="仿宋_GB2312"/>
          <w:color w:val="auto"/>
          <w:sz w:val="32"/>
          <w:szCs w:val="32"/>
          <w:highlight w:val="none"/>
        </w:rPr>
        <w:t>资金分配情况</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rPr>
        <w:t>主要</w:t>
      </w:r>
      <w:r>
        <w:rPr>
          <w:rFonts w:hint="eastAsia" w:ascii="仿宋_GB2312" w:hAnsi="宋体" w:eastAsia="仿宋_GB2312" w:cs="宋体"/>
          <w:color w:val="auto"/>
          <w:kern w:val="0"/>
          <w:sz w:val="32"/>
          <w:szCs w:val="32"/>
          <w:highlight w:val="none"/>
          <w:lang w:eastAsia="zh-CN"/>
        </w:rPr>
        <w:t>包括</w:t>
      </w:r>
      <w:r>
        <w:rPr>
          <w:rFonts w:hint="eastAsia" w:ascii="仿宋_GB2312" w:hAnsi="宋体" w:eastAsia="仿宋_GB2312" w:cs="宋体"/>
          <w:color w:val="auto"/>
          <w:kern w:val="0"/>
          <w:sz w:val="32"/>
          <w:szCs w:val="32"/>
          <w:highlight w:val="none"/>
          <w:lang w:val="en-US" w:eastAsia="zh-CN"/>
        </w:rPr>
        <w:t>1）2026年城乡义务教育补助经费230.95万元，</w:t>
      </w:r>
      <w:r>
        <w:rPr>
          <w:rFonts w:hint="eastAsia" w:ascii="仿宋_GB2312" w:hAnsi="宋体" w:eastAsia="仿宋_GB2312" w:cs="宋体"/>
          <w:color w:val="auto"/>
          <w:kern w:val="0"/>
          <w:sz w:val="32"/>
          <w:szCs w:val="32"/>
          <w:highlight w:val="none"/>
          <w:lang w:eastAsia="zh-CN"/>
        </w:rPr>
        <w:t>其中，用于日常</w:t>
      </w:r>
      <w:r>
        <w:rPr>
          <w:rFonts w:hint="eastAsia" w:ascii="仿宋_GB2312" w:hAnsi="宋体" w:eastAsia="仿宋_GB2312" w:cs="宋体"/>
          <w:color w:val="auto"/>
          <w:kern w:val="0"/>
          <w:sz w:val="32"/>
          <w:szCs w:val="32"/>
          <w:highlight w:val="none"/>
        </w:rPr>
        <w:t>维修维护</w:t>
      </w:r>
      <w:r>
        <w:rPr>
          <w:rFonts w:hint="eastAsia" w:ascii="仿宋_GB2312" w:hAnsi="宋体" w:eastAsia="仿宋_GB2312" w:cs="宋体"/>
          <w:color w:val="auto"/>
          <w:kern w:val="0"/>
          <w:sz w:val="32"/>
          <w:szCs w:val="32"/>
          <w:highlight w:val="none"/>
          <w:lang w:eastAsia="zh-CN"/>
        </w:rPr>
        <w:t>费</w:t>
      </w:r>
      <w:r>
        <w:rPr>
          <w:rFonts w:hint="eastAsia" w:ascii="仿宋_GB2312" w:hAnsi="宋体" w:eastAsia="仿宋_GB2312" w:cs="宋体"/>
          <w:color w:val="auto"/>
          <w:kern w:val="0"/>
          <w:sz w:val="32"/>
          <w:szCs w:val="32"/>
          <w:highlight w:val="none"/>
          <w:lang w:val="en-US" w:eastAsia="zh-CN"/>
        </w:rPr>
        <w:t>85.96万元</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学生体检和取暖等弥补公用经费129.49万元，家庭经济困难学生补助15.50万元</w:t>
      </w:r>
      <w:r>
        <w:rPr>
          <w:color w:val="auto"/>
          <w:highlight w:val="none"/>
        </w:rPr>
        <w:commentReference w:id="4"/>
      </w:r>
      <w:r>
        <w:rPr>
          <w:rFonts w:hint="eastAsia"/>
          <w:color w:val="auto"/>
          <w:highlight w:val="none"/>
          <w:lang w:eastAsia="zh-CN"/>
        </w:rPr>
        <w:t>；</w:t>
      </w:r>
      <w:r>
        <w:rPr>
          <w:rFonts w:hint="eastAsia" w:ascii="仿宋_GB2312" w:hAnsi="宋体" w:eastAsia="仿宋_GB2312" w:cs="宋体"/>
          <w:color w:val="auto"/>
          <w:kern w:val="0"/>
          <w:sz w:val="32"/>
          <w:szCs w:val="32"/>
          <w:highlight w:val="none"/>
          <w:lang w:val="en-US" w:eastAsia="zh-CN"/>
        </w:rPr>
        <w:t>2）2025年结转城乡义务教育补助经费105.21万元，其中，用于我校困难学生补助发放5.21万元，嵩山街校区消防改造100万元；3）2025年结转书画特色学校经费13万元，其中，聘请书画教师经费3万元，采购书画特色材料经费10万元；4）三区人才补助经费1万元，用于</w:t>
      </w:r>
      <w:r>
        <w:rPr>
          <w:rFonts w:hint="eastAsia" w:ascii="仿宋_GB2312" w:hAnsi="宋体" w:eastAsia="仿宋_GB2312" w:cs="宋体"/>
          <w:color w:val="auto"/>
          <w:kern w:val="0"/>
          <w:sz w:val="32"/>
          <w:szCs w:val="32"/>
          <w:highlight w:val="none"/>
          <w:lang w:eastAsia="zh-CN"/>
        </w:rPr>
        <w:t>发放我校赴南疆支教教师补贴</w:t>
      </w:r>
      <w:r>
        <w:rPr>
          <w:rFonts w:hint="eastAsia" w:ascii="仿宋_GB2312" w:hAnsi="宋体" w:eastAsia="仿宋_GB2312" w:cs="宋体"/>
          <w:color w:val="auto"/>
          <w:kern w:val="0"/>
          <w:sz w:val="32"/>
          <w:szCs w:val="32"/>
          <w:highlight w:val="none"/>
          <w:lang w:val="en-US" w:eastAsia="zh-CN"/>
        </w:rPr>
        <w:t>1万元</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宋体"/>
          <w:color w:val="auto"/>
          <w:kern w:val="0"/>
          <w:sz w:val="32"/>
          <w:szCs w:val="32"/>
          <w:highlight w:val="none"/>
          <w:lang w:val="en-US" w:eastAsia="zh-CN"/>
        </w:rPr>
      </w:pPr>
      <w:r>
        <w:rPr>
          <w:rFonts w:ascii="仿宋_GB2312" w:hAnsi="黑体" w:eastAsia="仿宋_GB2312"/>
          <w:color w:val="auto"/>
          <w:sz w:val="32"/>
          <w:szCs w:val="32"/>
          <w:highlight w:val="none"/>
        </w:rPr>
        <w:t>资金执行时间</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lang w:val="en-US" w:eastAsia="zh-CN"/>
        </w:rPr>
        <w:t>2026年1月1日-2026年12月31日</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二</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项目</w:t>
      </w:r>
      <w:r>
        <w:rPr>
          <w:rFonts w:ascii="仿宋_GB2312" w:hAnsi="黑体" w:eastAsia="仿宋_GB2312"/>
          <w:color w:val="auto"/>
          <w:sz w:val="32"/>
          <w:szCs w:val="32"/>
          <w:highlight w:val="none"/>
        </w:rPr>
        <w:t>名称</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rPr>
        <w:t>食堂维修改造等本级项目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宋体"/>
          <w:color w:val="auto"/>
          <w:kern w:val="0"/>
          <w:sz w:val="32"/>
          <w:szCs w:val="32"/>
          <w:highlight w:val="none"/>
          <w:lang w:eastAsia="zh-CN"/>
        </w:rPr>
      </w:pPr>
      <w:r>
        <w:rPr>
          <w:rFonts w:ascii="仿宋_GB2312" w:hAnsi="黑体" w:eastAsia="仿宋_GB2312"/>
          <w:color w:val="auto"/>
          <w:sz w:val="32"/>
          <w:szCs w:val="32"/>
          <w:highlight w:val="none"/>
        </w:rPr>
        <w:t>设立的政策依据</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2026年工作计划，</w:t>
      </w:r>
      <w:r>
        <w:rPr>
          <w:rFonts w:hint="eastAsia" w:ascii="仿宋_GB2312" w:hAnsi="宋体" w:eastAsia="仿宋_GB2312" w:cs="宋体"/>
          <w:color w:val="auto"/>
          <w:kern w:val="0"/>
          <w:sz w:val="32"/>
          <w:szCs w:val="32"/>
          <w:highlight w:val="none"/>
          <w:lang w:val="en-US" w:eastAsia="zh-CN"/>
        </w:rPr>
        <w:t>乌鲁木齐市校园食品安全和膳食经费监督管理办法，</w:t>
      </w:r>
      <w:r>
        <w:rPr>
          <w:rFonts w:hint="eastAsia" w:ascii="仿宋_GB2312" w:hAnsi="宋体" w:eastAsia="仿宋_GB2312" w:cs="宋体"/>
          <w:color w:val="auto"/>
          <w:kern w:val="0"/>
          <w:sz w:val="32"/>
          <w:szCs w:val="32"/>
          <w:highlight w:val="none"/>
        </w:rPr>
        <w:t>根据乌鲁木齐市中小学、幼儿园安保工作方案的内容，通过配备符合要求的安保人员，实现保障在校师生人身安全及学校内安全的目标</w:t>
      </w:r>
      <w:r>
        <w:rPr>
          <w:rFonts w:hint="eastAsia" w:ascii="仿宋_GB2312" w:hAnsi="宋体" w:eastAsia="仿宋_GB2312" w:cs="宋体"/>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宋体" w:eastAsia="仿宋_GB2312" w:cs="宋体"/>
          <w:color w:val="auto"/>
          <w:kern w:val="0"/>
          <w:sz w:val="32"/>
          <w:szCs w:val="32"/>
          <w:highlight w:val="none"/>
          <w:lang w:val="en-US" w:eastAsia="zh-CN"/>
        </w:rPr>
      </w:pPr>
      <w:r>
        <w:rPr>
          <w:rFonts w:ascii="仿宋_GB2312" w:hAnsi="黑体" w:eastAsia="仿宋_GB2312"/>
          <w:color w:val="auto"/>
          <w:sz w:val="32"/>
          <w:szCs w:val="32"/>
          <w:highlight w:val="none"/>
        </w:rPr>
        <w:t>预算安排规模</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lang w:val="en-US" w:eastAsia="zh-CN"/>
        </w:rPr>
        <w:t>303.86万元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ascii="仿宋_GB2312" w:hAnsi="黑体" w:eastAsia="仿宋_GB2312"/>
          <w:color w:val="auto"/>
          <w:sz w:val="32"/>
          <w:szCs w:val="32"/>
          <w:highlight w:val="none"/>
        </w:rPr>
      </w:pPr>
      <w:r>
        <w:rPr>
          <w:rFonts w:ascii="仿宋_GB2312" w:hAnsi="黑体" w:eastAsia="仿宋_GB2312"/>
          <w:color w:val="auto"/>
          <w:sz w:val="32"/>
          <w:szCs w:val="32"/>
          <w:highlight w:val="none"/>
        </w:rPr>
        <w:t>项目承担单位</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rPr>
        <w:t>乌鲁木齐市第127中学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黑体" w:eastAsia="仿宋_GB2312"/>
          <w:color w:val="auto"/>
          <w:sz w:val="32"/>
          <w:szCs w:val="32"/>
          <w:highlight w:val="none"/>
          <w:lang w:eastAsia="zh-CN"/>
        </w:rPr>
      </w:pPr>
      <w:r>
        <w:rPr>
          <w:rFonts w:ascii="仿宋_GB2312" w:hAnsi="黑体" w:eastAsia="仿宋_GB2312"/>
          <w:color w:val="auto"/>
          <w:sz w:val="32"/>
          <w:szCs w:val="32"/>
          <w:highlight w:val="none"/>
        </w:rPr>
        <w:t>资金分配情况</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rPr>
        <w:t>主要</w:t>
      </w:r>
      <w:r>
        <w:rPr>
          <w:rFonts w:hint="eastAsia" w:ascii="仿宋_GB2312" w:hAnsi="宋体" w:eastAsia="仿宋_GB2312" w:cs="宋体"/>
          <w:color w:val="auto"/>
          <w:kern w:val="0"/>
          <w:sz w:val="32"/>
          <w:szCs w:val="32"/>
          <w:highlight w:val="none"/>
          <w:lang w:eastAsia="zh-CN"/>
        </w:rPr>
        <w:t>包括</w:t>
      </w:r>
      <w:r>
        <w:rPr>
          <w:rFonts w:hint="eastAsia" w:ascii="仿宋_GB2312" w:hAnsi="宋体" w:eastAsia="仿宋_GB2312"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rPr>
        <w:t>本级2026年食堂维修改造费用</w:t>
      </w:r>
      <w:r>
        <w:rPr>
          <w:rFonts w:hint="eastAsia" w:ascii="仿宋_GB2312" w:hAnsi="宋体" w:eastAsia="仿宋_GB2312" w:cs="宋体"/>
          <w:color w:val="auto"/>
          <w:kern w:val="0"/>
          <w:sz w:val="32"/>
          <w:szCs w:val="32"/>
          <w:highlight w:val="none"/>
          <w:lang w:val="en-US" w:eastAsia="zh-CN"/>
        </w:rPr>
        <w:t>209.35万元，其中，用于水电暖等运营类支出17.49万元，设备采购支出25.40万元，改造建设支出150.64万元，消耗品支出15.82万元；2）</w:t>
      </w:r>
      <w:r>
        <w:rPr>
          <w:rFonts w:hint="eastAsia" w:ascii="仿宋_GB2312" w:hAnsi="宋体" w:eastAsia="仿宋_GB2312" w:cs="宋体"/>
          <w:color w:val="auto"/>
          <w:kern w:val="0"/>
          <w:sz w:val="32"/>
          <w:szCs w:val="32"/>
          <w:highlight w:val="none"/>
        </w:rPr>
        <w:t>本级202</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rPr>
        <w:t>年保安服务费</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我单位有两个校区，每个校区配备7个保安岗位，每月保安费用</w:t>
      </w:r>
      <w:r>
        <w:rPr>
          <w:rFonts w:hint="eastAsia" w:ascii="仿宋_GB2312" w:hAnsi="宋体" w:eastAsia="仿宋_GB2312" w:cs="宋体"/>
          <w:color w:val="auto"/>
          <w:kern w:val="0"/>
          <w:sz w:val="32"/>
          <w:szCs w:val="32"/>
          <w:highlight w:val="none"/>
          <w:lang w:val="en-US" w:eastAsia="zh-CN"/>
        </w:rPr>
        <w:t>4.90</w:t>
      </w:r>
      <w:r>
        <w:rPr>
          <w:rFonts w:hint="eastAsia" w:ascii="仿宋_GB2312" w:hAnsi="宋体" w:eastAsia="仿宋_GB2312" w:cs="宋体"/>
          <w:color w:val="auto"/>
          <w:kern w:val="0"/>
          <w:sz w:val="32"/>
          <w:szCs w:val="32"/>
          <w:highlight w:val="none"/>
        </w:rPr>
        <w:t>万元，全年共计</w:t>
      </w:r>
      <w:r>
        <w:rPr>
          <w:rFonts w:hint="eastAsia" w:ascii="仿宋_GB2312" w:hAnsi="宋体" w:eastAsia="仿宋_GB2312" w:cs="宋体"/>
          <w:color w:val="auto"/>
          <w:kern w:val="0"/>
          <w:sz w:val="32"/>
          <w:szCs w:val="32"/>
          <w:highlight w:val="none"/>
          <w:lang w:val="en-US" w:eastAsia="zh-CN"/>
        </w:rPr>
        <w:t>58.80</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lang w:val="en-US" w:eastAsia="zh-CN"/>
        </w:rPr>
        <w:t>3）</w:t>
      </w:r>
      <w:r>
        <w:rPr>
          <w:rFonts w:hint="eastAsia" w:ascii="仿宋_GB2312" w:hAnsi="宋体" w:eastAsia="仿宋_GB2312" w:cs="宋体"/>
          <w:color w:val="auto"/>
          <w:kern w:val="0"/>
          <w:sz w:val="32"/>
          <w:szCs w:val="32"/>
          <w:highlight w:val="none"/>
        </w:rPr>
        <w:t>本级优均创建设施设备购置更新</w:t>
      </w:r>
      <w:r>
        <w:rPr>
          <w:rFonts w:hint="eastAsia" w:ascii="仿宋_GB2312" w:hAnsi="宋体" w:eastAsia="仿宋_GB2312" w:cs="宋体"/>
          <w:color w:val="auto"/>
          <w:kern w:val="0"/>
          <w:sz w:val="32"/>
          <w:szCs w:val="32"/>
          <w:highlight w:val="none"/>
          <w:lang w:val="en-US" w:eastAsia="zh-CN"/>
        </w:rPr>
        <w:t>17.11万元，其中，</w:t>
      </w:r>
      <w:r>
        <w:rPr>
          <w:rFonts w:hint="eastAsia" w:ascii="仿宋_GB2312" w:hAnsi="宋体" w:eastAsia="仿宋_GB2312" w:cs="宋体"/>
          <w:color w:val="auto"/>
          <w:kern w:val="0"/>
          <w:sz w:val="32"/>
          <w:szCs w:val="32"/>
          <w:highlight w:val="none"/>
        </w:rPr>
        <w:t>用于我</w:t>
      </w:r>
      <w:r>
        <w:rPr>
          <w:rFonts w:hint="eastAsia" w:ascii="仿宋_GB2312" w:hAnsi="宋体" w:eastAsia="仿宋_GB2312" w:cs="宋体"/>
          <w:color w:val="auto"/>
          <w:kern w:val="0"/>
          <w:sz w:val="32"/>
          <w:szCs w:val="32"/>
          <w:highlight w:val="none"/>
          <w:lang w:val="en-US" w:eastAsia="zh-CN"/>
        </w:rPr>
        <w:t>校两校区物业管理服务费7.2万元，日常维修维护等弥补公用经费9.91万元；4）</w:t>
      </w:r>
      <w:r>
        <w:rPr>
          <w:rFonts w:hint="eastAsia" w:ascii="仿宋_GB2312" w:hAnsi="宋体" w:eastAsia="仿宋_GB2312" w:cs="宋体"/>
          <w:color w:val="auto"/>
          <w:kern w:val="0"/>
          <w:sz w:val="32"/>
          <w:szCs w:val="32"/>
          <w:highlight w:val="none"/>
        </w:rPr>
        <w:t>本级聘用人员伙食费</w:t>
      </w:r>
      <w:r>
        <w:rPr>
          <w:rFonts w:hint="eastAsia" w:ascii="仿宋_GB2312" w:hAnsi="宋体" w:eastAsia="仿宋_GB2312" w:cs="宋体"/>
          <w:color w:val="auto"/>
          <w:kern w:val="0"/>
          <w:sz w:val="32"/>
          <w:szCs w:val="32"/>
          <w:highlight w:val="none"/>
          <w:lang w:val="en-US" w:eastAsia="zh-CN"/>
        </w:rPr>
        <w:t>16.47万元，</w:t>
      </w:r>
      <w:r>
        <w:rPr>
          <w:rFonts w:hint="eastAsia" w:ascii="仿宋_GB2312" w:hAnsi="宋体" w:eastAsia="仿宋_GB2312" w:cs="宋体"/>
          <w:color w:val="auto"/>
          <w:kern w:val="0"/>
          <w:sz w:val="32"/>
          <w:szCs w:val="32"/>
          <w:highlight w:val="none"/>
        </w:rPr>
        <w:t>主要用于我</w:t>
      </w:r>
      <w:r>
        <w:rPr>
          <w:rFonts w:hint="eastAsia" w:ascii="仿宋_GB2312" w:hAnsi="宋体" w:eastAsia="仿宋_GB2312" w:cs="宋体"/>
          <w:color w:val="auto"/>
          <w:kern w:val="0"/>
          <w:sz w:val="32"/>
          <w:szCs w:val="32"/>
          <w:highlight w:val="none"/>
          <w:lang w:val="en-US" w:eastAsia="zh-CN"/>
        </w:rPr>
        <w:t>校聘用教师每月伙食补助经费，补助标准为早餐补助2元，午餐补助5元；5）</w:t>
      </w:r>
      <w:r>
        <w:rPr>
          <w:rFonts w:hint="eastAsia" w:ascii="仿宋_GB2312" w:hAnsi="宋体" w:eastAsia="仿宋_GB2312" w:cs="宋体"/>
          <w:color w:val="auto"/>
          <w:kern w:val="0"/>
          <w:sz w:val="32"/>
          <w:szCs w:val="32"/>
          <w:highlight w:val="none"/>
        </w:rPr>
        <w:t>本级保基本民生城乡义务教育补助经费（免费教科书）</w:t>
      </w:r>
      <w:r>
        <w:rPr>
          <w:rFonts w:hint="eastAsia" w:ascii="仿宋_GB2312" w:hAnsi="宋体" w:eastAsia="仿宋_GB2312" w:cs="宋体"/>
          <w:color w:val="auto"/>
          <w:kern w:val="0"/>
          <w:sz w:val="32"/>
          <w:szCs w:val="32"/>
          <w:highlight w:val="none"/>
          <w:lang w:val="en-US" w:eastAsia="zh-CN"/>
        </w:rPr>
        <w:t>0.08万元，</w:t>
      </w:r>
      <w:r>
        <w:rPr>
          <w:rFonts w:hint="eastAsia" w:ascii="仿宋_GB2312" w:hAnsi="宋体" w:eastAsia="仿宋_GB2312" w:cs="宋体"/>
          <w:color w:val="auto"/>
          <w:kern w:val="0"/>
          <w:sz w:val="32"/>
          <w:szCs w:val="32"/>
          <w:highlight w:val="none"/>
        </w:rPr>
        <w:t>用于</w:t>
      </w:r>
      <w:r>
        <w:rPr>
          <w:rFonts w:hint="eastAsia" w:ascii="仿宋_GB2312" w:hAnsi="宋体" w:eastAsia="仿宋_GB2312" w:cs="宋体"/>
          <w:color w:val="auto"/>
          <w:kern w:val="0"/>
          <w:sz w:val="32"/>
          <w:szCs w:val="32"/>
          <w:highlight w:val="none"/>
          <w:lang w:val="en-US" w:eastAsia="zh-CN"/>
        </w:rPr>
        <w:t>支付免费教科书费用0.08万元；6）</w:t>
      </w:r>
      <w:r>
        <w:rPr>
          <w:rFonts w:hint="eastAsia" w:ascii="仿宋_GB2312" w:hAnsi="宋体" w:eastAsia="仿宋_GB2312" w:cs="宋体"/>
          <w:color w:val="auto"/>
          <w:kern w:val="0"/>
          <w:sz w:val="32"/>
          <w:szCs w:val="32"/>
          <w:highlight w:val="none"/>
        </w:rPr>
        <w:t>本级保基本民生家庭困难学生补助</w:t>
      </w:r>
      <w:r>
        <w:rPr>
          <w:rFonts w:hint="eastAsia" w:ascii="仿宋_GB2312" w:hAnsi="宋体" w:eastAsia="仿宋_GB2312" w:cs="宋体"/>
          <w:color w:val="auto"/>
          <w:kern w:val="0"/>
          <w:sz w:val="32"/>
          <w:szCs w:val="32"/>
          <w:highlight w:val="none"/>
          <w:lang w:val="en-US" w:eastAsia="zh-CN"/>
        </w:rPr>
        <w:t>2.05万元，</w:t>
      </w:r>
      <w:r>
        <w:rPr>
          <w:rFonts w:hint="eastAsia" w:ascii="仿宋_GB2312" w:hAnsi="宋体" w:eastAsia="仿宋_GB2312" w:cs="宋体"/>
          <w:color w:val="auto"/>
          <w:kern w:val="0"/>
          <w:sz w:val="32"/>
          <w:szCs w:val="32"/>
          <w:highlight w:val="none"/>
          <w:lang w:eastAsia="zh-CN"/>
        </w:rPr>
        <w:t>其中，用于小学</w:t>
      </w:r>
      <w:r>
        <w:rPr>
          <w:rFonts w:hint="eastAsia" w:ascii="仿宋_GB2312" w:hAnsi="宋体" w:eastAsia="仿宋_GB2312" w:cs="宋体"/>
          <w:color w:val="auto"/>
          <w:kern w:val="0"/>
          <w:sz w:val="32"/>
          <w:szCs w:val="32"/>
          <w:highlight w:val="none"/>
        </w:rPr>
        <w:t>家庭经济困难学生补助</w:t>
      </w:r>
      <w:r>
        <w:rPr>
          <w:rFonts w:hint="eastAsia" w:ascii="仿宋_GB2312" w:hAnsi="宋体" w:eastAsia="仿宋_GB2312" w:cs="宋体"/>
          <w:color w:val="auto"/>
          <w:kern w:val="0"/>
          <w:sz w:val="32"/>
          <w:szCs w:val="32"/>
          <w:highlight w:val="none"/>
          <w:lang w:val="en-US" w:eastAsia="zh-CN"/>
        </w:rPr>
        <w:t>0.83万元，</w:t>
      </w:r>
      <w:r>
        <w:rPr>
          <w:rFonts w:hint="eastAsia" w:ascii="仿宋_GB2312" w:hAnsi="宋体" w:eastAsia="仿宋_GB2312" w:cs="宋体"/>
          <w:color w:val="auto"/>
          <w:kern w:val="0"/>
          <w:sz w:val="32"/>
          <w:szCs w:val="32"/>
          <w:highlight w:val="none"/>
          <w:lang w:eastAsia="zh-CN"/>
        </w:rPr>
        <w:t>初中</w:t>
      </w:r>
      <w:r>
        <w:rPr>
          <w:rFonts w:hint="eastAsia" w:ascii="仿宋_GB2312" w:hAnsi="宋体" w:eastAsia="仿宋_GB2312" w:cs="宋体"/>
          <w:color w:val="auto"/>
          <w:kern w:val="0"/>
          <w:sz w:val="32"/>
          <w:szCs w:val="32"/>
          <w:highlight w:val="none"/>
        </w:rPr>
        <w:t>家庭经济困难学生补助</w:t>
      </w:r>
      <w:r>
        <w:rPr>
          <w:rFonts w:hint="eastAsia" w:ascii="仿宋_GB2312" w:hAnsi="宋体" w:eastAsia="仿宋_GB2312" w:cs="宋体"/>
          <w:color w:val="auto"/>
          <w:kern w:val="0"/>
          <w:sz w:val="32"/>
          <w:szCs w:val="32"/>
          <w:highlight w:val="none"/>
          <w:lang w:val="en-US" w:eastAsia="zh-CN"/>
        </w:rPr>
        <w:t>1.22万元</w:t>
      </w:r>
      <w:r>
        <w:rPr>
          <w:rFonts w:hint="eastAsia" w:ascii="仿宋_GB2312" w:hAnsi="宋体" w:eastAsia="仿宋_GB2312" w:cs="宋体"/>
          <w:color w:val="auto"/>
          <w:kern w:val="0"/>
          <w:sz w:val="32"/>
          <w:szCs w:val="32"/>
          <w:highlight w:val="none"/>
          <w:lang w:eastAsia="zh-CN"/>
        </w:rPr>
        <w:t>。</w:t>
      </w:r>
    </w:p>
    <w:p>
      <w:pPr>
        <w:snapToGrid/>
        <w:spacing w:line="600" w:lineRule="exact"/>
        <w:ind w:firstLine="640" w:firstLineChars="200"/>
        <w:jc w:val="both"/>
        <w:rPr>
          <w:rFonts w:hint="eastAsia"/>
          <w:color w:val="auto"/>
          <w:highlight w:val="none"/>
          <w:lang w:eastAsia="zh-CN"/>
        </w:rPr>
      </w:pPr>
      <w:r>
        <w:rPr>
          <w:rFonts w:ascii="仿宋_GB2312" w:hAnsi="黑体" w:eastAsia="仿宋_GB2312"/>
          <w:color w:val="auto"/>
          <w:sz w:val="32"/>
          <w:szCs w:val="32"/>
          <w:highlight w:val="none"/>
        </w:rPr>
        <w:t>资金执行时间</w:t>
      </w:r>
      <w:r>
        <w:rPr>
          <w:rFonts w:hint="eastAsia" w:ascii="仿宋_GB2312" w:hAnsi="黑体" w:eastAsia="仿宋_GB2312"/>
          <w:color w:val="auto"/>
          <w:sz w:val="32"/>
          <w:szCs w:val="32"/>
          <w:highlight w:val="none"/>
        </w:rPr>
        <w:t>：</w:t>
      </w:r>
      <w:r>
        <w:rPr>
          <w:rFonts w:hint="eastAsia" w:ascii="仿宋_GB2312" w:hAnsi="宋体" w:eastAsia="仿宋_GB2312" w:cs="宋体"/>
          <w:color w:val="auto"/>
          <w:kern w:val="0"/>
          <w:sz w:val="32"/>
          <w:szCs w:val="32"/>
          <w:highlight w:val="none"/>
          <w:lang w:val="en-US" w:eastAsia="zh-CN"/>
        </w:rPr>
        <w:t>2026年1月1日-2026年12月31日</w:t>
      </w:r>
      <w:commentRangeEnd w:id="3"/>
      <w:r>
        <w:rPr>
          <w:color w:val="auto"/>
          <w:highlight w:val="none"/>
        </w:rPr>
        <w:commentReference w:id="3"/>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Hans"/>
        </w:rPr>
        <w:t>八</w:t>
      </w:r>
      <w:r>
        <w:rPr>
          <w:rFonts w:hint="default" w:ascii="Times New Roman" w:hAnsi="Times New Roman" w:eastAsia="楷体_GB2312" w:cs="Times New Roman"/>
          <w:b/>
          <w:bCs/>
          <w:color w:val="auto"/>
          <w:kern w:val="0"/>
          <w:sz w:val="32"/>
          <w:szCs w:val="32"/>
          <w:highlight w:val="none"/>
        </w:rPr>
        <w:t>、关于乌鲁木齐市第127中学单位2026年政府性基金预算拨款情况说明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乌鲁木齐市第127中学单位2026年没有使用政府性基金预算拨款安排的支出，政府性基金预算支出情况表为空表。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Hans"/>
        </w:rPr>
        <w:t>九、</w:t>
      </w:r>
      <w:r>
        <w:rPr>
          <w:rFonts w:hint="default" w:ascii="Times New Roman" w:hAnsi="Times New Roman" w:eastAsia="楷体_GB2312" w:cs="Times New Roman"/>
          <w:b/>
          <w:bCs/>
          <w:color w:val="auto"/>
          <w:kern w:val="0"/>
          <w:sz w:val="32"/>
          <w:szCs w:val="32"/>
          <w:highlight w:val="none"/>
        </w:rPr>
        <w:t>关于乌鲁木齐市第127中学单位2026年国有资本经营预算拨款情况说明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乌鲁木齐市第127中学单位2026年没有使用国有资本经营预算拨款安排的支出，国有资本经营预算支出情况表为空表。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Hans"/>
        </w:rPr>
        <w:t>十</w:t>
      </w:r>
      <w:r>
        <w:rPr>
          <w:rFonts w:hint="default" w:ascii="Times New Roman" w:hAnsi="Times New Roman" w:eastAsia="楷体_GB2312" w:cs="Times New Roman"/>
          <w:b/>
          <w:bCs/>
          <w:color w:val="auto"/>
          <w:kern w:val="0"/>
          <w:sz w:val="32"/>
          <w:szCs w:val="32"/>
          <w:highlight w:val="none"/>
        </w:rPr>
        <w:t>、关于乌鲁木齐市第127中学单位2026年</w:t>
      </w:r>
      <w:r>
        <w:rPr>
          <w:rFonts w:hint="default" w:ascii="Times New Roman" w:hAnsi="Times New Roman" w:eastAsia="楷体_GB2312" w:cs="Times New Roman"/>
          <w:b/>
          <w:bCs/>
          <w:color w:val="auto"/>
          <w:kern w:val="0"/>
          <w:sz w:val="32"/>
          <w:szCs w:val="32"/>
          <w:highlight w:val="none"/>
          <w:lang w:val="en-US" w:eastAsia="zh-Hans"/>
        </w:rPr>
        <w:t>财政拨款</w:t>
      </w:r>
      <w:r>
        <w:rPr>
          <w:rFonts w:hint="default" w:ascii="Times New Roman" w:hAnsi="Times New Roman" w:eastAsia="楷体_GB2312" w:cs="Times New Roman"/>
          <w:b/>
          <w:bCs/>
          <w:color w:val="auto"/>
          <w:kern w:val="0"/>
          <w:sz w:val="32"/>
          <w:szCs w:val="32"/>
          <w:highlight w:val="none"/>
        </w:rPr>
        <w:t>“三公”经费预算情况说明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w:t>
      </w:r>
      <w:r>
        <w:rPr>
          <w:rFonts w:hint="default" w:ascii="Times New Roman" w:hAnsi="Times New Roman" w:eastAsia="仿宋_GB2312" w:cs="Times New Roman"/>
          <w:color w:val="auto"/>
          <w:kern w:val="0"/>
          <w:sz w:val="32"/>
          <w:szCs w:val="32"/>
          <w:highlight w:val="none"/>
          <w:lang w:val="en-US" w:eastAsia="zh-Hans"/>
        </w:rPr>
        <w:t>财政拨款</w:t>
      </w:r>
      <w:r>
        <w:rPr>
          <w:rFonts w:hint="default" w:ascii="Times New Roman" w:hAnsi="Times New Roman" w:eastAsia="仿宋_GB2312" w:cs="Times New Roman"/>
          <w:color w:val="auto"/>
          <w:kern w:val="0"/>
          <w:sz w:val="32"/>
          <w:szCs w:val="32"/>
          <w:highlight w:val="none"/>
        </w:rPr>
        <w:t>“三公”经费数为</w:t>
      </w:r>
      <w:r>
        <w:rPr>
          <w:rFonts w:hint="eastAsia" w:eastAsia="仿宋_GB2312" w:cs="Times New Roman"/>
          <w:color w:val="auto"/>
          <w:kern w:val="0"/>
          <w:sz w:val="32"/>
          <w:szCs w:val="32"/>
          <w:highlight w:val="none"/>
          <w:lang w:val="en-US" w:eastAsia="zh-CN"/>
        </w:rPr>
        <w:t>2.46</w:t>
      </w:r>
      <w:r>
        <w:rPr>
          <w:rFonts w:hint="default" w:ascii="Times New Roman" w:hAnsi="Times New Roman" w:eastAsia="仿宋_GB2312" w:cs="Times New Roman"/>
          <w:color w:val="auto"/>
          <w:kern w:val="0"/>
          <w:sz w:val="32"/>
          <w:szCs w:val="32"/>
          <w:highlight w:val="none"/>
        </w:rPr>
        <w:t>万元，其中：</w:t>
      </w:r>
      <w:r>
        <w:rPr>
          <w:rFonts w:hint="default" w:ascii="Times New Roman" w:hAnsi="Times New Roman" w:eastAsia="仿宋_GB2312" w:cs="Times New Roman"/>
          <w:color w:val="auto"/>
          <w:kern w:val="0"/>
          <w:sz w:val="32"/>
          <w:szCs w:val="32"/>
          <w:highlight w:val="none"/>
          <w:lang w:eastAsia="zh-CN"/>
        </w:rPr>
        <w:t>因公出国（境）费用</w:t>
      </w:r>
      <w:r>
        <w:rPr>
          <w:rFonts w:hint="eastAsia" w:eastAsia="仿宋_GB2312" w:cs="Times New Roman"/>
          <w:color w:val="auto"/>
          <w:kern w:val="0"/>
          <w:sz w:val="32"/>
          <w:szCs w:val="32"/>
          <w:highlight w:val="none"/>
          <w:lang w:val="en-US" w:eastAsia="zh-CN"/>
        </w:rPr>
        <w:t>0.00</w:t>
      </w:r>
      <w:r>
        <w:rPr>
          <w:rFonts w:hint="default" w:ascii="Times New Roman" w:hAnsi="Times New Roman" w:eastAsia="仿宋_GB2312" w:cs="Times New Roman"/>
          <w:color w:val="auto"/>
          <w:kern w:val="0"/>
          <w:sz w:val="32"/>
          <w:szCs w:val="32"/>
          <w:highlight w:val="none"/>
        </w:rPr>
        <w:t>万元，公务用车购置</w:t>
      </w:r>
      <w:r>
        <w:rPr>
          <w:rFonts w:hint="eastAsia" w:eastAsia="仿宋_GB2312" w:cs="Times New Roman"/>
          <w:color w:val="auto"/>
          <w:kern w:val="0"/>
          <w:sz w:val="32"/>
          <w:szCs w:val="32"/>
          <w:highlight w:val="none"/>
          <w:lang w:val="en-US" w:eastAsia="zh-CN"/>
        </w:rPr>
        <w:t>0.00</w:t>
      </w:r>
      <w:r>
        <w:rPr>
          <w:rFonts w:hint="default" w:ascii="Times New Roman" w:hAnsi="Times New Roman" w:eastAsia="仿宋_GB2312" w:cs="Times New Roman"/>
          <w:color w:val="auto"/>
          <w:kern w:val="0"/>
          <w:sz w:val="32"/>
          <w:szCs w:val="32"/>
          <w:highlight w:val="none"/>
        </w:rPr>
        <w:t>万元，公务</w:t>
      </w:r>
      <w:r>
        <w:rPr>
          <w:rFonts w:hint="eastAsia" w:eastAsia="仿宋_GB2312" w:cs="Times New Roman"/>
          <w:color w:val="auto"/>
          <w:kern w:val="0"/>
          <w:sz w:val="32"/>
          <w:szCs w:val="32"/>
          <w:highlight w:val="none"/>
          <w:lang w:eastAsia="zh-CN"/>
        </w:rPr>
        <w:t>用</w:t>
      </w:r>
      <w:r>
        <w:rPr>
          <w:rFonts w:hint="default" w:ascii="Times New Roman" w:hAnsi="Times New Roman" w:eastAsia="仿宋_GB2312" w:cs="Times New Roman"/>
          <w:color w:val="auto"/>
          <w:kern w:val="0"/>
          <w:sz w:val="32"/>
          <w:szCs w:val="32"/>
          <w:highlight w:val="none"/>
        </w:rPr>
        <w:t>车运行</w:t>
      </w:r>
      <w:r>
        <w:rPr>
          <w:rFonts w:hint="eastAsia" w:eastAsia="仿宋_GB2312" w:cs="Times New Roman"/>
          <w:color w:val="auto"/>
          <w:kern w:val="0"/>
          <w:sz w:val="32"/>
          <w:szCs w:val="32"/>
          <w:highlight w:val="none"/>
          <w:lang w:eastAsia="zh-CN"/>
        </w:rPr>
        <w:t>维护</w:t>
      </w:r>
      <w:r>
        <w:rPr>
          <w:rFonts w:hint="default" w:ascii="Times New Roman" w:hAnsi="Times New Roman" w:eastAsia="仿宋_GB2312" w:cs="Times New Roman"/>
          <w:color w:val="auto"/>
          <w:kern w:val="0"/>
          <w:sz w:val="32"/>
          <w:szCs w:val="32"/>
          <w:highlight w:val="none"/>
        </w:rPr>
        <w:t>费</w:t>
      </w:r>
      <w:r>
        <w:rPr>
          <w:rFonts w:hint="eastAsia" w:eastAsia="仿宋_GB2312" w:cs="Times New Roman"/>
          <w:color w:val="auto"/>
          <w:kern w:val="0"/>
          <w:sz w:val="32"/>
          <w:szCs w:val="32"/>
          <w:highlight w:val="none"/>
          <w:lang w:val="en-US" w:eastAsia="zh-CN"/>
        </w:rPr>
        <w:t>2.46</w:t>
      </w:r>
      <w:r>
        <w:rPr>
          <w:rFonts w:hint="default" w:ascii="Times New Roman" w:hAnsi="Times New Roman" w:eastAsia="仿宋_GB2312" w:cs="Times New Roman"/>
          <w:color w:val="auto"/>
          <w:kern w:val="0"/>
          <w:sz w:val="32"/>
          <w:szCs w:val="32"/>
          <w:highlight w:val="none"/>
        </w:rPr>
        <w:t>万元，公务接待费</w:t>
      </w:r>
      <w:r>
        <w:rPr>
          <w:rFonts w:hint="eastAsia" w:eastAsia="仿宋_GB2312" w:cs="Times New Roman"/>
          <w:color w:val="auto"/>
          <w:kern w:val="0"/>
          <w:sz w:val="32"/>
          <w:szCs w:val="32"/>
          <w:highlight w:val="none"/>
          <w:lang w:val="en-US" w:eastAsia="zh-CN"/>
        </w:rPr>
        <w:t>0.00</w:t>
      </w:r>
      <w:r>
        <w:rPr>
          <w:rFonts w:hint="default" w:ascii="Times New Roman" w:hAnsi="Times New Roman" w:eastAsia="仿宋_GB2312" w:cs="Times New Roman"/>
          <w:color w:val="auto"/>
          <w:kern w:val="0"/>
          <w:sz w:val="32"/>
          <w:szCs w:val="32"/>
          <w:highlight w:val="none"/>
        </w:rPr>
        <w:t>万元。</w:t>
      </w:r>
      <w:bookmarkStart w:id="1" w:name="_GoBack"/>
      <w:bookmarkEnd w:id="1"/>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lang w:val="en-US" w:eastAsia="zh-Hans"/>
        </w:rPr>
        <w:t>财政拨款</w:t>
      </w:r>
      <w:r>
        <w:rPr>
          <w:rFonts w:hint="default" w:ascii="Times New Roman" w:hAnsi="Times New Roman" w:eastAsia="仿宋_GB2312" w:cs="Times New Roman"/>
          <w:color w:val="auto"/>
          <w:kern w:val="0"/>
          <w:sz w:val="32"/>
          <w:szCs w:val="32"/>
          <w:highlight w:val="none"/>
        </w:rPr>
        <w:t>“三公”经费比上年</w:t>
      </w:r>
      <w:r>
        <w:rPr>
          <w:rFonts w:hint="default" w:ascii="Times New Roman" w:hAnsi="Times New Roman" w:eastAsia="仿宋_GB2312" w:cs="Times New Roman"/>
          <w:color w:val="auto"/>
          <w:kern w:val="0"/>
          <w:sz w:val="32"/>
          <w:szCs w:val="32"/>
          <w:highlight w:val="none"/>
          <w:lang w:val="en-US" w:eastAsia="zh-Hans"/>
        </w:rPr>
        <w:t>预算</w:t>
      </w:r>
      <w:r>
        <w:rPr>
          <w:rFonts w:hint="default" w:ascii="Times New Roman" w:hAnsi="Times New Roman" w:eastAsia="仿宋_GB2312" w:cs="Times New Roman"/>
          <w:color w:val="auto"/>
          <w:kern w:val="0"/>
          <w:sz w:val="32"/>
          <w:szCs w:val="32"/>
          <w:highlight w:val="none"/>
        </w:rPr>
        <w:t>减少</w:t>
      </w:r>
      <w:r>
        <w:rPr>
          <w:rFonts w:hint="eastAsia" w:eastAsia="仿宋_GB2312" w:cs="Times New Roman"/>
          <w:color w:val="auto"/>
          <w:kern w:val="0"/>
          <w:sz w:val="32"/>
          <w:szCs w:val="32"/>
          <w:highlight w:val="none"/>
          <w:lang w:val="en-US" w:eastAsia="zh-CN"/>
        </w:rPr>
        <w:t>2.45</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下降</w:t>
      </w:r>
      <w:r>
        <w:rPr>
          <w:rFonts w:hint="eastAsia" w:eastAsia="仿宋_GB2312" w:cs="Times New Roman"/>
          <w:color w:val="auto"/>
          <w:kern w:val="0"/>
          <w:sz w:val="32"/>
          <w:szCs w:val="32"/>
          <w:highlight w:val="none"/>
          <w:lang w:val="en-US" w:eastAsia="zh-CN"/>
        </w:rPr>
        <w:t>49</w:t>
      </w:r>
      <w:r>
        <w:rPr>
          <w:rFonts w:hint="default" w:eastAsia="仿宋_GB2312" w:cs="Times New Roman"/>
          <w:color w:val="auto"/>
          <w:kern w:val="0"/>
          <w:sz w:val="32"/>
          <w:szCs w:val="32"/>
          <w:highlight w:val="none"/>
          <w:lang w:val="en-US" w:eastAsia="zh-CN"/>
        </w:rPr>
        <w:t>.</w:t>
      </w:r>
      <w:r>
        <w:rPr>
          <w:rFonts w:hint="eastAsia" w:eastAsia="仿宋_GB2312" w:cs="Times New Roman"/>
          <w:color w:val="auto"/>
          <w:kern w:val="0"/>
          <w:sz w:val="32"/>
          <w:szCs w:val="32"/>
          <w:highlight w:val="none"/>
          <w:lang w:val="en-US" w:eastAsia="zh-CN"/>
        </w:rPr>
        <w:t>90</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其中：</w:t>
      </w:r>
      <w:r>
        <w:rPr>
          <w:rFonts w:hint="default" w:ascii="Times New Roman" w:hAnsi="Times New Roman" w:eastAsia="仿宋_GB2312" w:cs="Times New Roman"/>
          <w:color w:val="auto"/>
          <w:kern w:val="0"/>
          <w:sz w:val="32"/>
          <w:szCs w:val="32"/>
          <w:highlight w:val="none"/>
          <w:lang w:eastAsia="zh-CN"/>
        </w:rPr>
        <w:t>因公出国（境）费用</w:t>
      </w:r>
      <w:r>
        <w:rPr>
          <w:rFonts w:hint="default" w:ascii="Times New Roman" w:hAnsi="Times New Roman" w:eastAsia="仿宋_GB2312" w:cs="Times New Roman"/>
          <w:color w:val="auto"/>
          <w:kern w:val="0"/>
          <w:sz w:val="32"/>
          <w:szCs w:val="32"/>
          <w:highlight w:val="none"/>
        </w:rPr>
        <w:t>增加</w:t>
      </w:r>
      <w:r>
        <w:rPr>
          <w:rFonts w:hint="default" w:eastAsia="仿宋_GB2312" w:cs="Times New Roman"/>
          <w:color w:val="auto"/>
          <w:kern w:val="0"/>
          <w:sz w:val="32"/>
          <w:szCs w:val="32"/>
          <w:highlight w:val="none"/>
          <w:lang w:val="en-US"/>
        </w:rPr>
        <w:t>0.00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default" w:eastAsia="仿宋_GB2312" w:cs="Times New Roman"/>
          <w:color w:val="auto"/>
          <w:kern w:val="0"/>
          <w:sz w:val="32"/>
          <w:szCs w:val="32"/>
          <w:highlight w:val="none"/>
          <w:lang w:val="en-US"/>
        </w:rPr>
        <w:t>0.00</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主要原因是</w:t>
      </w:r>
      <w:r>
        <w:rPr>
          <w:rFonts w:hint="eastAsia" w:ascii="仿宋_GB2312" w:hAnsi="宋体" w:eastAsia="仿宋_GB2312" w:cs="宋体"/>
          <w:color w:val="auto"/>
          <w:kern w:val="0"/>
          <w:sz w:val="32"/>
          <w:szCs w:val="32"/>
          <w:highlight w:val="none"/>
        </w:rPr>
        <w:t>202</w:t>
      </w:r>
      <w:r>
        <w:rPr>
          <w:rFonts w:hint="default" w:ascii="仿宋_GB2312" w:hAnsi="宋体" w:eastAsia="仿宋_GB2312" w:cs="宋体"/>
          <w:color w:val="auto"/>
          <w:kern w:val="0"/>
          <w:sz w:val="32"/>
          <w:szCs w:val="32"/>
          <w:highlight w:val="none"/>
          <w:lang w:val="en-US"/>
        </w:rPr>
        <w:t>5</w:t>
      </w:r>
      <w:r>
        <w:rPr>
          <w:rFonts w:hint="eastAsia" w:ascii="仿宋_GB2312" w:hAnsi="宋体" w:eastAsia="仿宋_GB2312" w:cs="宋体"/>
          <w:color w:val="auto"/>
          <w:kern w:val="0"/>
          <w:sz w:val="32"/>
          <w:szCs w:val="32"/>
          <w:highlight w:val="none"/>
        </w:rPr>
        <w:t>年</w:t>
      </w:r>
      <w:r>
        <w:rPr>
          <w:rFonts w:hint="eastAsia" w:ascii="仿宋_GB2312" w:hAnsi="宋体" w:eastAsia="仿宋_GB2312" w:cs="宋体"/>
          <w:color w:val="auto"/>
          <w:kern w:val="0"/>
          <w:sz w:val="32"/>
          <w:szCs w:val="32"/>
          <w:highlight w:val="none"/>
          <w:lang w:eastAsia="zh-CN"/>
        </w:rPr>
        <w:t>和</w:t>
      </w:r>
      <w:r>
        <w:rPr>
          <w:rFonts w:hint="eastAsia" w:ascii="仿宋_GB2312" w:hAnsi="宋体" w:eastAsia="仿宋_GB2312" w:cs="宋体"/>
          <w:color w:val="auto"/>
          <w:kern w:val="0"/>
          <w:sz w:val="32"/>
          <w:szCs w:val="32"/>
          <w:highlight w:val="none"/>
          <w:lang w:val="en-US" w:eastAsia="zh-CN"/>
        </w:rPr>
        <w:t>202</w:t>
      </w:r>
      <w:r>
        <w:rPr>
          <w:rFonts w:hint="default"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年均</w:t>
      </w:r>
      <w:r>
        <w:rPr>
          <w:rFonts w:hint="eastAsia" w:ascii="仿宋_GB2312" w:hAnsi="宋体" w:eastAsia="仿宋_GB2312" w:cs="宋体"/>
          <w:color w:val="auto"/>
          <w:kern w:val="0"/>
          <w:sz w:val="32"/>
          <w:szCs w:val="32"/>
          <w:highlight w:val="none"/>
        </w:rPr>
        <w:t>未安排此项预算</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公务用车购置增加</w:t>
      </w:r>
      <w:r>
        <w:rPr>
          <w:rFonts w:hint="default" w:eastAsia="仿宋_GB2312" w:cs="Times New Roman"/>
          <w:color w:val="auto"/>
          <w:kern w:val="0"/>
          <w:sz w:val="32"/>
          <w:szCs w:val="32"/>
          <w:highlight w:val="none"/>
          <w:lang w:val="en-US"/>
        </w:rPr>
        <w:t>0.00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default" w:eastAsia="仿宋_GB2312" w:cs="Times New Roman"/>
          <w:color w:val="auto"/>
          <w:kern w:val="0"/>
          <w:sz w:val="32"/>
          <w:szCs w:val="32"/>
          <w:highlight w:val="none"/>
          <w:lang w:val="en-US"/>
        </w:rPr>
        <w:t>0.00</w:t>
      </w: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主要原因是</w:t>
      </w:r>
      <w:r>
        <w:rPr>
          <w:rFonts w:hint="eastAsia" w:ascii="仿宋_GB2312" w:hAnsi="宋体" w:eastAsia="仿宋_GB2312" w:cs="宋体"/>
          <w:color w:val="auto"/>
          <w:kern w:val="0"/>
          <w:sz w:val="32"/>
          <w:szCs w:val="32"/>
          <w:highlight w:val="none"/>
        </w:rPr>
        <w:t>202</w:t>
      </w:r>
      <w:r>
        <w:rPr>
          <w:rFonts w:hint="default" w:ascii="仿宋_GB2312" w:hAnsi="宋体" w:eastAsia="仿宋_GB2312" w:cs="宋体"/>
          <w:color w:val="auto"/>
          <w:kern w:val="0"/>
          <w:sz w:val="32"/>
          <w:szCs w:val="32"/>
          <w:highlight w:val="none"/>
          <w:lang w:val="en-US"/>
        </w:rPr>
        <w:t>5</w:t>
      </w:r>
      <w:r>
        <w:rPr>
          <w:rFonts w:hint="eastAsia" w:ascii="仿宋_GB2312" w:hAnsi="宋体" w:eastAsia="仿宋_GB2312" w:cs="宋体"/>
          <w:color w:val="auto"/>
          <w:kern w:val="0"/>
          <w:sz w:val="32"/>
          <w:szCs w:val="32"/>
          <w:highlight w:val="none"/>
        </w:rPr>
        <w:t>年</w:t>
      </w:r>
      <w:r>
        <w:rPr>
          <w:rFonts w:hint="eastAsia" w:ascii="仿宋_GB2312" w:hAnsi="宋体" w:eastAsia="仿宋_GB2312" w:cs="宋体"/>
          <w:color w:val="auto"/>
          <w:kern w:val="0"/>
          <w:sz w:val="32"/>
          <w:szCs w:val="32"/>
          <w:highlight w:val="none"/>
          <w:lang w:eastAsia="zh-CN"/>
        </w:rPr>
        <w:t>和</w:t>
      </w:r>
      <w:r>
        <w:rPr>
          <w:rFonts w:hint="eastAsia" w:ascii="仿宋_GB2312" w:hAnsi="宋体" w:eastAsia="仿宋_GB2312" w:cs="宋体"/>
          <w:color w:val="auto"/>
          <w:kern w:val="0"/>
          <w:sz w:val="32"/>
          <w:szCs w:val="32"/>
          <w:highlight w:val="none"/>
          <w:lang w:val="en-US" w:eastAsia="zh-CN"/>
        </w:rPr>
        <w:t>202</w:t>
      </w:r>
      <w:r>
        <w:rPr>
          <w:rFonts w:hint="default"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年均</w:t>
      </w:r>
      <w:r>
        <w:rPr>
          <w:rFonts w:hint="eastAsia" w:ascii="仿宋_GB2312" w:hAnsi="宋体" w:eastAsia="仿宋_GB2312" w:cs="宋体"/>
          <w:color w:val="auto"/>
          <w:kern w:val="0"/>
          <w:sz w:val="32"/>
          <w:szCs w:val="32"/>
          <w:highlight w:val="none"/>
        </w:rPr>
        <w:t>未安排此项预算</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公务用车运行</w:t>
      </w:r>
      <w:r>
        <w:rPr>
          <w:rFonts w:hint="eastAsia" w:eastAsia="仿宋_GB2312" w:cs="Times New Roman"/>
          <w:color w:val="auto"/>
          <w:kern w:val="0"/>
          <w:sz w:val="32"/>
          <w:szCs w:val="32"/>
          <w:highlight w:val="none"/>
          <w:lang w:eastAsia="zh-CN"/>
        </w:rPr>
        <w:t>维护</w:t>
      </w:r>
      <w:r>
        <w:rPr>
          <w:rFonts w:hint="default" w:ascii="Times New Roman" w:hAnsi="Times New Roman" w:eastAsia="仿宋_GB2312" w:cs="Times New Roman"/>
          <w:color w:val="auto"/>
          <w:kern w:val="0"/>
          <w:sz w:val="32"/>
          <w:szCs w:val="32"/>
          <w:highlight w:val="none"/>
        </w:rPr>
        <w:t>费</w:t>
      </w:r>
      <w:r>
        <w:rPr>
          <w:rFonts w:hint="eastAsia" w:eastAsia="仿宋_GB2312" w:cs="Times New Roman"/>
          <w:color w:val="auto"/>
          <w:kern w:val="0"/>
          <w:sz w:val="32"/>
          <w:szCs w:val="32"/>
          <w:highlight w:val="none"/>
          <w:lang w:val="en-US" w:eastAsia="zh-CN"/>
        </w:rPr>
        <w:t>减少</w:t>
      </w:r>
      <w:r>
        <w:rPr>
          <w:rFonts w:hint="default" w:eastAsia="仿宋_GB2312" w:cs="Times New Roman"/>
          <w:color w:val="auto"/>
          <w:kern w:val="0"/>
          <w:sz w:val="32"/>
          <w:szCs w:val="32"/>
          <w:highlight w:val="none"/>
          <w:lang w:val="en-US"/>
        </w:rPr>
        <w:t>2.4</w:t>
      </w:r>
      <w:r>
        <w:rPr>
          <w:rFonts w:hint="eastAsia"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下降</w:t>
      </w:r>
      <w:r>
        <w:rPr>
          <w:rFonts w:hint="eastAsia" w:eastAsia="仿宋_GB2312" w:cs="Times New Roman"/>
          <w:color w:val="auto"/>
          <w:kern w:val="0"/>
          <w:sz w:val="32"/>
          <w:szCs w:val="32"/>
          <w:highlight w:val="none"/>
          <w:lang w:val="en-US" w:eastAsia="zh-CN"/>
        </w:rPr>
        <w:t>49.90</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一辆公务用车购买年限长，需要进行报废处理</w:t>
      </w:r>
      <w:r>
        <w:rPr>
          <w:rFonts w:hint="default" w:ascii="Times New Roman" w:hAnsi="Times New Roman" w:eastAsia="仿宋_GB2312" w:cs="Times New Roman"/>
          <w:color w:val="auto"/>
          <w:kern w:val="0"/>
          <w:sz w:val="32"/>
          <w:szCs w:val="32"/>
          <w:highlight w:val="none"/>
        </w:rPr>
        <w:t>；公务接待费增加</w:t>
      </w:r>
      <w:r>
        <w:rPr>
          <w:rFonts w:hint="default" w:eastAsia="仿宋_GB2312" w:cs="Times New Roman"/>
          <w:color w:val="auto"/>
          <w:kern w:val="0"/>
          <w:sz w:val="32"/>
          <w:szCs w:val="32"/>
          <w:highlight w:val="none"/>
          <w:lang w:val="en-US"/>
        </w:rPr>
        <w:t>0.00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增长</w:t>
      </w:r>
      <w:r>
        <w:rPr>
          <w:rFonts w:hint="default" w:eastAsia="仿宋_GB2312" w:cs="Times New Roman"/>
          <w:color w:val="auto"/>
          <w:kern w:val="0"/>
          <w:sz w:val="32"/>
          <w:szCs w:val="32"/>
          <w:highlight w:val="none"/>
          <w:lang w:val="en-US"/>
        </w:rPr>
        <w:t>0.00</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rPr>
        <w:t>主要原因是</w:t>
      </w:r>
      <w:r>
        <w:rPr>
          <w:rFonts w:hint="eastAsia" w:ascii="仿宋_GB2312" w:hAnsi="宋体" w:eastAsia="仿宋_GB2312" w:cs="宋体"/>
          <w:color w:val="auto"/>
          <w:kern w:val="0"/>
          <w:sz w:val="32"/>
          <w:szCs w:val="32"/>
          <w:highlight w:val="none"/>
        </w:rPr>
        <w:t>202</w:t>
      </w:r>
      <w:r>
        <w:rPr>
          <w:rFonts w:hint="default" w:ascii="仿宋_GB2312" w:hAnsi="宋体" w:eastAsia="仿宋_GB2312" w:cs="宋体"/>
          <w:color w:val="auto"/>
          <w:kern w:val="0"/>
          <w:sz w:val="32"/>
          <w:szCs w:val="32"/>
          <w:highlight w:val="none"/>
          <w:lang w:val="en-US"/>
        </w:rPr>
        <w:t>5</w:t>
      </w:r>
      <w:r>
        <w:rPr>
          <w:rFonts w:hint="eastAsia" w:ascii="仿宋_GB2312" w:hAnsi="宋体" w:eastAsia="仿宋_GB2312" w:cs="宋体"/>
          <w:color w:val="auto"/>
          <w:kern w:val="0"/>
          <w:sz w:val="32"/>
          <w:szCs w:val="32"/>
          <w:highlight w:val="none"/>
        </w:rPr>
        <w:t>年</w:t>
      </w:r>
      <w:r>
        <w:rPr>
          <w:rFonts w:hint="eastAsia" w:ascii="仿宋_GB2312" w:hAnsi="宋体" w:eastAsia="仿宋_GB2312" w:cs="宋体"/>
          <w:color w:val="auto"/>
          <w:kern w:val="0"/>
          <w:sz w:val="32"/>
          <w:szCs w:val="32"/>
          <w:highlight w:val="none"/>
          <w:lang w:eastAsia="zh-CN"/>
        </w:rPr>
        <w:t>和</w:t>
      </w:r>
      <w:r>
        <w:rPr>
          <w:rFonts w:hint="eastAsia" w:ascii="仿宋_GB2312" w:hAnsi="宋体" w:eastAsia="仿宋_GB2312" w:cs="宋体"/>
          <w:color w:val="auto"/>
          <w:kern w:val="0"/>
          <w:sz w:val="32"/>
          <w:szCs w:val="32"/>
          <w:highlight w:val="none"/>
          <w:lang w:val="en-US" w:eastAsia="zh-CN"/>
        </w:rPr>
        <w:t>202</w:t>
      </w:r>
      <w:r>
        <w:rPr>
          <w:rFonts w:hint="default"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年均</w:t>
      </w:r>
      <w:r>
        <w:rPr>
          <w:rFonts w:hint="eastAsia" w:ascii="仿宋_GB2312" w:hAnsi="宋体" w:eastAsia="仿宋_GB2312" w:cs="宋体"/>
          <w:color w:val="auto"/>
          <w:kern w:val="0"/>
          <w:sz w:val="32"/>
          <w:szCs w:val="32"/>
          <w:highlight w:val="none"/>
        </w:rPr>
        <w:t>未安排此项预算</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Hans"/>
        </w:rPr>
        <w:t>十</w:t>
      </w:r>
      <w:r>
        <w:rPr>
          <w:rFonts w:hint="default" w:ascii="Times New Roman" w:hAnsi="Times New Roman" w:eastAsia="楷体_GB2312" w:cs="Times New Roman"/>
          <w:b/>
          <w:bCs/>
          <w:color w:val="auto"/>
          <w:kern w:val="0"/>
          <w:sz w:val="32"/>
          <w:szCs w:val="32"/>
          <w:highlight w:val="none"/>
          <w:lang w:val="en-US" w:eastAsia="zh-CN"/>
        </w:rPr>
        <w:t>一</w:t>
      </w:r>
      <w:r>
        <w:rPr>
          <w:rFonts w:hint="default" w:ascii="Times New Roman" w:hAnsi="Times New Roman" w:eastAsia="楷体_GB2312" w:cs="Times New Roman"/>
          <w:b/>
          <w:bCs/>
          <w:color w:val="auto"/>
          <w:kern w:val="0"/>
          <w:sz w:val="32"/>
          <w:szCs w:val="32"/>
          <w:highlight w:val="none"/>
        </w:rPr>
        <w:t>、关于乌鲁木齐市第127中学单位2026年</w:t>
      </w:r>
      <w:r>
        <w:rPr>
          <w:rFonts w:hint="default" w:ascii="Times New Roman" w:hAnsi="Times New Roman" w:eastAsia="楷体_GB2312" w:cs="Times New Roman"/>
          <w:b/>
          <w:bCs/>
          <w:color w:val="auto"/>
          <w:kern w:val="0"/>
          <w:sz w:val="32"/>
          <w:szCs w:val="32"/>
          <w:highlight w:val="none"/>
          <w:lang w:val="en-US" w:eastAsia="zh-CN"/>
        </w:rPr>
        <w:t>财政拨款委托业务费</w:t>
      </w:r>
      <w:r>
        <w:rPr>
          <w:rFonts w:hint="eastAsia" w:eastAsia="楷体_GB2312" w:cs="Times New Roman"/>
          <w:b/>
          <w:bCs/>
          <w:color w:val="auto"/>
          <w:kern w:val="0"/>
          <w:sz w:val="32"/>
          <w:szCs w:val="32"/>
          <w:highlight w:val="none"/>
          <w:lang w:val="en-US" w:eastAsia="zh-CN"/>
        </w:rPr>
        <w:t>支出</w:t>
      </w:r>
      <w:r>
        <w:rPr>
          <w:rFonts w:hint="default" w:ascii="Times New Roman" w:hAnsi="Times New Roman" w:eastAsia="楷体_GB2312" w:cs="Times New Roman"/>
          <w:b/>
          <w:bCs/>
          <w:color w:val="auto"/>
          <w:kern w:val="0"/>
          <w:sz w:val="32"/>
          <w:szCs w:val="32"/>
          <w:highlight w:val="none"/>
        </w:rPr>
        <w:t>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w:t>
      </w:r>
      <w:r>
        <w:rPr>
          <w:rFonts w:hint="default" w:ascii="Times New Roman" w:hAnsi="Times New Roman" w:eastAsia="仿宋_GB2312" w:cs="Times New Roman"/>
          <w:color w:val="auto"/>
          <w:kern w:val="0"/>
          <w:sz w:val="32"/>
          <w:szCs w:val="32"/>
          <w:highlight w:val="none"/>
          <w:lang w:val="en-US" w:eastAsia="zh-CN"/>
        </w:rPr>
        <w:t>没有委托业务费</w:t>
      </w:r>
      <w:r>
        <w:rPr>
          <w:rFonts w:hint="default" w:ascii="Times New Roman" w:hAnsi="Times New Roman" w:eastAsia="仿宋_GB2312" w:cs="Times New Roman"/>
          <w:color w:val="auto"/>
          <w:kern w:val="0"/>
          <w:sz w:val="32"/>
          <w:szCs w:val="32"/>
          <w:highlight w:val="none"/>
        </w:rPr>
        <w:t>预算的支出，</w:t>
      </w:r>
      <w:r>
        <w:rPr>
          <w:rFonts w:hint="default" w:ascii="Times New Roman" w:hAnsi="Times New Roman" w:eastAsia="仿宋_GB2312" w:cs="Times New Roman"/>
          <w:color w:val="auto"/>
          <w:kern w:val="0"/>
          <w:sz w:val="32"/>
          <w:szCs w:val="32"/>
          <w:highlight w:val="none"/>
          <w:lang w:val="en-US" w:eastAsia="zh-CN"/>
        </w:rPr>
        <w:t>财政拨款委托业务费支出情况</w:t>
      </w:r>
      <w:r>
        <w:rPr>
          <w:rFonts w:hint="default" w:ascii="Times New Roman" w:hAnsi="Times New Roman" w:eastAsia="仿宋_GB2312" w:cs="Times New Roman"/>
          <w:color w:val="auto"/>
          <w:kern w:val="0"/>
          <w:sz w:val="32"/>
          <w:szCs w:val="32"/>
          <w:highlight w:val="none"/>
        </w:rPr>
        <w:t>表为空表。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color w:val="auto"/>
          <w:kern w:val="0"/>
          <w:sz w:val="32"/>
          <w:szCs w:val="32"/>
          <w:highlight w:val="none"/>
        </w:rPr>
      </w:pPr>
      <w:r>
        <w:rPr>
          <w:rFonts w:hint="eastAsia" w:eastAsia="楷体_GB2312" w:cs="Times New Roman"/>
          <w:b/>
          <w:bCs/>
          <w:color w:val="auto"/>
          <w:kern w:val="0"/>
          <w:sz w:val="32"/>
          <w:szCs w:val="32"/>
          <w:highlight w:val="none"/>
          <w:lang w:val="en-US" w:eastAsia="zh-CN"/>
        </w:rPr>
        <w:t>十二、</w:t>
      </w:r>
      <w:r>
        <w:rPr>
          <w:rFonts w:hint="default" w:ascii="Times New Roman" w:hAnsi="Times New Roman" w:eastAsia="楷体_GB2312" w:cs="Times New Roman"/>
          <w:b/>
          <w:bCs/>
          <w:color w:val="auto"/>
          <w:kern w:val="0"/>
          <w:sz w:val="32"/>
          <w:szCs w:val="32"/>
          <w:highlight w:val="none"/>
        </w:rPr>
        <w:t>关于乌鲁木齐市第127中学单位2026年</w:t>
      </w:r>
      <w:r>
        <w:rPr>
          <w:rFonts w:hint="default" w:ascii="Times New Roman" w:hAnsi="Times New Roman" w:eastAsia="楷体_GB2312" w:cs="Times New Roman"/>
          <w:b/>
          <w:bCs/>
          <w:color w:val="auto"/>
          <w:kern w:val="0"/>
          <w:sz w:val="32"/>
          <w:szCs w:val="32"/>
          <w:highlight w:val="none"/>
          <w:lang w:val="en-US" w:eastAsia="zh-CN"/>
        </w:rPr>
        <w:t>上年结转结余</w:t>
      </w:r>
      <w:r>
        <w:rPr>
          <w:rFonts w:hint="default" w:ascii="Times New Roman" w:hAnsi="Times New Roman" w:eastAsia="楷体_GB2312" w:cs="Times New Roman"/>
          <w:b/>
          <w:bCs/>
          <w:color w:val="auto"/>
          <w:kern w:val="0"/>
          <w:sz w:val="32"/>
          <w:szCs w:val="32"/>
          <w:highlight w:val="none"/>
        </w:rPr>
        <w:t>预算情况说明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乌鲁木齐市第127中学单位2026年</w:t>
      </w:r>
      <w:r>
        <w:rPr>
          <w:rFonts w:hint="default" w:ascii="Times New Roman" w:hAnsi="Times New Roman" w:eastAsia="仿宋_GB2312" w:cs="Times New Roman"/>
          <w:color w:val="auto"/>
          <w:kern w:val="0"/>
          <w:sz w:val="32"/>
          <w:szCs w:val="32"/>
          <w:highlight w:val="none"/>
          <w:lang w:val="en-US" w:eastAsia="zh-CN"/>
        </w:rPr>
        <w:t>上年结转结余</w:t>
      </w:r>
      <w:r>
        <w:rPr>
          <w:rFonts w:hint="eastAsia" w:eastAsia="仿宋_GB2312" w:cs="Times New Roman"/>
          <w:color w:val="auto"/>
          <w:kern w:val="0"/>
          <w:sz w:val="32"/>
          <w:szCs w:val="32"/>
          <w:highlight w:val="none"/>
          <w:lang w:val="en-US" w:eastAsia="zh-CN"/>
        </w:rPr>
        <w:t>232.70</w:t>
      </w:r>
      <w:r>
        <w:rPr>
          <w:rFonts w:hint="default" w:ascii="Times New Roman" w:hAnsi="Times New Roman" w:eastAsia="仿宋_GB2312" w:cs="Times New Roman"/>
          <w:color w:val="auto"/>
          <w:kern w:val="0"/>
          <w:sz w:val="32"/>
          <w:szCs w:val="32"/>
          <w:highlight w:val="none"/>
          <w:lang w:val="en-US" w:eastAsia="zh-CN"/>
        </w:rPr>
        <w:t>万元，包括：财政拨款</w:t>
      </w:r>
      <w:r>
        <w:rPr>
          <w:rFonts w:hint="eastAsia" w:eastAsia="仿宋_GB2312" w:cs="Times New Roman"/>
          <w:color w:val="auto"/>
          <w:kern w:val="0"/>
          <w:sz w:val="32"/>
          <w:szCs w:val="32"/>
          <w:highlight w:val="none"/>
          <w:lang w:val="en-US" w:eastAsia="zh-CN"/>
        </w:rPr>
        <w:t>192.15</w:t>
      </w:r>
      <w:r>
        <w:rPr>
          <w:rFonts w:hint="default" w:ascii="Times New Roman" w:hAnsi="Times New Roman" w:eastAsia="仿宋_GB2312" w:cs="Times New Roman"/>
          <w:color w:val="auto"/>
          <w:kern w:val="0"/>
          <w:sz w:val="32"/>
          <w:szCs w:val="32"/>
          <w:highlight w:val="none"/>
          <w:lang w:val="en-US" w:eastAsia="zh-CN"/>
        </w:rPr>
        <w:t>万元，非财政拨款</w:t>
      </w:r>
      <w:r>
        <w:rPr>
          <w:rFonts w:hint="eastAsia" w:eastAsia="仿宋_GB2312" w:cs="Times New Roman"/>
          <w:color w:val="auto"/>
          <w:kern w:val="0"/>
          <w:sz w:val="32"/>
          <w:szCs w:val="32"/>
          <w:highlight w:val="none"/>
          <w:lang w:val="en-US" w:eastAsia="zh-CN"/>
        </w:rPr>
        <w:t>40.55</w:t>
      </w:r>
      <w:r>
        <w:rPr>
          <w:rFonts w:hint="default" w:ascii="Times New Roman" w:hAnsi="Times New Roman" w:eastAsia="仿宋_GB2312" w:cs="Times New Roman"/>
          <w:color w:val="auto"/>
          <w:kern w:val="0"/>
          <w:sz w:val="32"/>
          <w:szCs w:val="32"/>
          <w:highlight w:val="none"/>
          <w:lang w:val="en-US" w:eastAsia="zh-CN"/>
        </w:rPr>
        <w:t>万元，</w:t>
      </w:r>
      <w:r>
        <w:rPr>
          <w:rFonts w:hint="default" w:ascii="Times New Roman" w:hAnsi="Times New Roman" w:eastAsia="仿宋_GB2312" w:cs="Times New Roman"/>
          <w:color w:val="auto"/>
          <w:kern w:val="0"/>
          <w:sz w:val="32"/>
          <w:szCs w:val="32"/>
          <w:highlight w:val="none"/>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1.2025年城乡义务教育补助经费（项目）结转</w:t>
      </w:r>
      <w:r>
        <w:rPr>
          <w:rFonts w:hint="default" w:eastAsia="仿宋_GB2312" w:cs="Times New Roman"/>
          <w:color w:val="auto"/>
          <w:kern w:val="0"/>
          <w:sz w:val="32"/>
          <w:szCs w:val="32"/>
          <w:highlight w:val="none"/>
          <w:lang w:val="en-US" w:eastAsia="zh-CN"/>
        </w:rPr>
        <w:t>105.21</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主要用于：</w:t>
      </w:r>
      <w:r>
        <w:rPr>
          <w:rFonts w:hint="eastAsia" w:ascii="仿宋_GB2312" w:hAnsi="仿宋_GB2312" w:eastAsia="仿宋_GB2312" w:cs="仿宋_GB2312"/>
          <w:color w:val="auto"/>
          <w:kern w:val="0"/>
          <w:sz w:val="32"/>
          <w:szCs w:val="32"/>
          <w:highlight w:val="none"/>
          <w:lang w:val="en-US" w:eastAsia="zh-CN"/>
        </w:rPr>
        <w:t>发放家庭困难学生生活补助5.21万元，</w:t>
      </w:r>
      <w:r>
        <w:rPr>
          <w:rFonts w:hint="default" w:ascii="Times New Roman" w:hAnsi="Times New Roman" w:eastAsia="仿宋_GB2312" w:cs="Times New Roman"/>
          <w:color w:val="auto"/>
          <w:kern w:val="0"/>
          <w:sz w:val="32"/>
          <w:szCs w:val="32"/>
          <w:highlight w:val="none"/>
          <w:lang w:eastAsia="zh-CN"/>
        </w:rPr>
        <w:t>嵩山街校区消防改造100万元</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lang w:val="en-US" w:eastAsia="zh-CN"/>
        </w:rPr>
        <w:t>体育、传统文化特色校经费（项目）结转</w:t>
      </w:r>
      <w:r>
        <w:rPr>
          <w:rFonts w:hint="eastAsia" w:ascii="Times New Roman" w:hAnsi="Times New Roman" w:eastAsia="仿宋_GB2312" w:cs="Times New Roman"/>
          <w:color w:val="auto"/>
          <w:kern w:val="0"/>
          <w:sz w:val="32"/>
          <w:szCs w:val="32"/>
          <w:highlight w:val="none"/>
          <w:lang w:val="en-US" w:eastAsia="zh-CN"/>
        </w:rPr>
        <w:t>13</w:t>
      </w:r>
      <w:r>
        <w:rPr>
          <w:rFonts w:hint="default" w:ascii="Times New Roman" w:hAnsi="Times New Roman" w:eastAsia="仿宋_GB2312" w:cs="Times New Roman"/>
          <w:color w:val="auto"/>
          <w:kern w:val="0"/>
          <w:sz w:val="32"/>
          <w:szCs w:val="32"/>
          <w:highlight w:val="none"/>
          <w:lang w:val="en-US" w:eastAsia="zh-CN"/>
        </w:rPr>
        <w:t>万元，主要用于：</w:t>
      </w:r>
      <w:r>
        <w:rPr>
          <w:rFonts w:hint="eastAsia" w:ascii="Times New Roman" w:hAnsi="Times New Roman" w:eastAsia="仿宋_GB2312" w:cs="Times New Roman"/>
          <w:color w:val="auto"/>
          <w:kern w:val="0"/>
          <w:sz w:val="32"/>
          <w:szCs w:val="32"/>
          <w:highlight w:val="none"/>
          <w:lang w:val="en-US" w:eastAsia="zh-CN"/>
        </w:rPr>
        <w:t>聘请书画教师补助工资3万元，采购书画特色相关材料或者书画教室维修维护</w:t>
      </w:r>
      <w:r>
        <w:rPr>
          <w:rFonts w:hint="default" w:ascii="Times New Roman" w:hAnsi="Times New Roman" w:eastAsia="仿宋_GB2312" w:cs="Times New Roman"/>
          <w:color w:val="auto"/>
          <w:kern w:val="0"/>
          <w:sz w:val="32"/>
          <w:szCs w:val="32"/>
          <w:highlight w:val="none"/>
          <w:lang w:val="en-US" w:eastAsia="zh-CN"/>
        </w:rPr>
        <w:t>10万元。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lang w:val="en-US" w:eastAsia="zh-CN"/>
        </w:rPr>
        <w:t>单位资金-存量项目（项目）结转</w:t>
      </w:r>
      <w:r>
        <w:rPr>
          <w:rFonts w:hint="eastAsia" w:ascii="Times New Roman" w:hAnsi="Times New Roman" w:eastAsia="仿宋_GB2312" w:cs="Times New Roman"/>
          <w:color w:val="auto"/>
          <w:kern w:val="0"/>
          <w:sz w:val="32"/>
          <w:szCs w:val="32"/>
          <w:highlight w:val="none"/>
          <w:lang w:val="en-US" w:eastAsia="zh-CN"/>
        </w:rPr>
        <w:t>33.29</w:t>
      </w:r>
      <w:r>
        <w:rPr>
          <w:rFonts w:hint="default" w:ascii="Times New Roman" w:hAnsi="Times New Roman" w:eastAsia="仿宋_GB2312" w:cs="Times New Roman"/>
          <w:color w:val="auto"/>
          <w:kern w:val="0"/>
          <w:sz w:val="32"/>
          <w:szCs w:val="32"/>
          <w:highlight w:val="none"/>
          <w:lang w:val="en-US" w:eastAsia="zh-CN"/>
        </w:rPr>
        <w:t>万元，主要用于：收回燃气公司退回的多购买燃气费</w:t>
      </w:r>
      <w:r>
        <w:rPr>
          <w:rFonts w:hint="eastAsia" w:eastAsia="仿宋_GB2312" w:cs="Times New Roman"/>
          <w:color w:val="auto"/>
          <w:kern w:val="0"/>
          <w:sz w:val="32"/>
          <w:szCs w:val="32"/>
          <w:highlight w:val="none"/>
          <w:lang w:val="en-US" w:eastAsia="zh-CN"/>
        </w:rPr>
        <w:t>，需上缴财政</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4.</w:t>
      </w:r>
      <w:r>
        <w:rPr>
          <w:rFonts w:hint="eastAsia" w:ascii="Times New Roman" w:hAnsi="Times New Roman" w:eastAsia="仿宋_GB2312" w:cs="Times New Roman"/>
          <w:color w:val="auto"/>
          <w:kern w:val="0"/>
          <w:sz w:val="32"/>
          <w:szCs w:val="32"/>
          <w:highlight w:val="none"/>
          <w:lang w:val="en-US" w:eastAsia="zh-CN"/>
        </w:rPr>
        <w:t>单位资金-体育特色校资金</w:t>
      </w:r>
      <w:r>
        <w:rPr>
          <w:rFonts w:hint="default" w:ascii="Times New Roman" w:hAnsi="Times New Roman" w:eastAsia="仿宋_GB2312" w:cs="Times New Roman"/>
          <w:color w:val="auto"/>
          <w:kern w:val="0"/>
          <w:sz w:val="32"/>
          <w:szCs w:val="32"/>
          <w:highlight w:val="none"/>
          <w:lang w:val="en-US" w:eastAsia="zh-CN"/>
        </w:rPr>
        <w:t>（项目）结转</w:t>
      </w:r>
      <w:r>
        <w:rPr>
          <w:rFonts w:hint="eastAsia" w:ascii="Times New Roman" w:hAnsi="Times New Roman" w:eastAsia="仿宋_GB2312" w:cs="Times New Roman"/>
          <w:color w:val="auto"/>
          <w:kern w:val="0"/>
          <w:sz w:val="32"/>
          <w:szCs w:val="32"/>
          <w:highlight w:val="none"/>
          <w:lang w:val="en-US" w:eastAsia="zh-CN"/>
        </w:rPr>
        <w:t>6.53</w:t>
      </w:r>
      <w:r>
        <w:rPr>
          <w:rFonts w:hint="default" w:ascii="Times New Roman" w:hAnsi="Times New Roman" w:eastAsia="仿宋_GB2312" w:cs="Times New Roman"/>
          <w:color w:val="auto"/>
          <w:kern w:val="0"/>
          <w:sz w:val="32"/>
          <w:szCs w:val="32"/>
          <w:highlight w:val="none"/>
          <w:lang w:val="en-US" w:eastAsia="zh-CN"/>
        </w:rPr>
        <w:t>万元，主要用于：</w:t>
      </w:r>
      <w:r>
        <w:rPr>
          <w:rFonts w:hint="eastAsia" w:ascii="Times New Roman" w:hAnsi="Times New Roman" w:eastAsia="仿宋_GB2312" w:cs="Times New Roman"/>
          <w:color w:val="auto"/>
          <w:kern w:val="0"/>
          <w:sz w:val="32"/>
          <w:szCs w:val="32"/>
          <w:highlight w:val="none"/>
          <w:lang w:val="en-US" w:eastAsia="zh-CN"/>
        </w:rPr>
        <w:t>采购书画特色相关材料</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5.</w:t>
      </w:r>
      <w:r>
        <w:rPr>
          <w:rFonts w:hint="eastAsia" w:ascii="Times New Roman" w:hAnsi="Times New Roman" w:eastAsia="仿宋_GB2312" w:cs="Times New Roman"/>
          <w:color w:val="auto"/>
          <w:kern w:val="0"/>
          <w:sz w:val="32"/>
          <w:szCs w:val="32"/>
          <w:highlight w:val="none"/>
          <w:lang w:val="en-US" w:eastAsia="zh-CN"/>
        </w:rPr>
        <w:t>单位资金-课后延时费</w:t>
      </w:r>
      <w:r>
        <w:rPr>
          <w:rFonts w:hint="default" w:ascii="Times New Roman" w:hAnsi="Times New Roman" w:eastAsia="仿宋_GB2312" w:cs="Times New Roman"/>
          <w:color w:val="auto"/>
          <w:kern w:val="0"/>
          <w:sz w:val="32"/>
          <w:szCs w:val="32"/>
          <w:highlight w:val="none"/>
          <w:lang w:val="en-US" w:eastAsia="zh-CN"/>
        </w:rPr>
        <w:t>（项目）结转</w:t>
      </w:r>
      <w:r>
        <w:rPr>
          <w:rFonts w:hint="eastAsia" w:ascii="Times New Roman" w:hAnsi="Times New Roman" w:eastAsia="仿宋_GB2312" w:cs="Times New Roman"/>
          <w:color w:val="auto"/>
          <w:kern w:val="0"/>
          <w:sz w:val="32"/>
          <w:szCs w:val="32"/>
          <w:highlight w:val="none"/>
          <w:lang w:val="en-US" w:eastAsia="zh-CN"/>
        </w:rPr>
        <w:t>0.23</w:t>
      </w:r>
      <w:r>
        <w:rPr>
          <w:rFonts w:hint="default" w:ascii="Times New Roman" w:hAnsi="Times New Roman" w:eastAsia="仿宋_GB2312" w:cs="Times New Roman"/>
          <w:color w:val="auto"/>
          <w:kern w:val="0"/>
          <w:sz w:val="32"/>
          <w:szCs w:val="32"/>
          <w:highlight w:val="none"/>
          <w:lang w:val="en-US" w:eastAsia="zh-CN"/>
        </w:rPr>
        <w:t>万元，主要用于：</w:t>
      </w:r>
      <w:r>
        <w:rPr>
          <w:rFonts w:hint="eastAsia" w:ascii="Times New Roman" w:hAnsi="Times New Roman" w:eastAsia="仿宋_GB2312" w:cs="Times New Roman"/>
          <w:color w:val="auto"/>
          <w:kern w:val="0"/>
          <w:sz w:val="32"/>
          <w:szCs w:val="32"/>
          <w:highlight w:val="none"/>
          <w:lang w:val="en-US" w:eastAsia="zh-CN"/>
        </w:rPr>
        <w:t>发放给参与课后服务工作教师</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color w:val="auto"/>
          <w:highlight w:val="none"/>
          <w:lang w:val="en-US" w:eastAsia="zh-CN"/>
        </w:rPr>
      </w:pPr>
      <w:r>
        <w:rPr>
          <w:rFonts w:hint="eastAsia" w:eastAsia="仿宋_GB2312" w:cs="Times New Roman"/>
          <w:color w:val="auto"/>
          <w:kern w:val="0"/>
          <w:sz w:val="32"/>
          <w:szCs w:val="32"/>
          <w:highlight w:val="none"/>
          <w:lang w:val="en-US" w:eastAsia="zh-CN"/>
        </w:rPr>
        <w:t>6.</w:t>
      </w:r>
      <w:r>
        <w:rPr>
          <w:rFonts w:hint="eastAsia" w:ascii="Times New Roman" w:hAnsi="Times New Roman" w:eastAsia="仿宋_GB2312" w:cs="Times New Roman"/>
          <w:color w:val="auto"/>
          <w:kern w:val="0"/>
          <w:sz w:val="32"/>
          <w:szCs w:val="32"/>
          <w:highlight w:val="none"/>
          <w:lang w:val="en-US" w:eastAsia="zh-CN"/>
        </w:rPr>
        <w:t>单位资金-扫黄打非经费</w:t>
      </w:r>
      <w:r>
        <w:rPr>
          <w:rFonts w:hint="default" w:ascii="Times New Roman" w:hAnsi="Times New Roman" w:eastAsia="仿宋_GB2312" w:cs="Times New Roman"/>
          <w:color w:val="auto"/>
          <w:kern w:val="0"/>
          <w:sz w:val="32"/>
          <w:szCs w:val="32"/>
          <w:highlight w:val="none"/>
          <w:lang w:val="en-US" w:eastAsia="zh-CN"/>
        </w:rPr>
        <w:t>（项目）结转</w:t>
      </w:r>
      <w:r>
        <w:rPr>
          <w:rFonts w:hint="eastAsia" w:ascii="Times New Roman" w:hAnsi="Times New Roman" w:eastAsia="仿宋_GB2312" w:cs="Times New Roman"/>
          <w:color w:val="auto"/>
          <w:kern w:val="0"/>
          <w:sz w:val="32"/>
          <w:szCs w:val="32"/>
          <w:highlight w:val="none"/>
          <w:lang w:val="en-US" w:eastAsia="zh-CN"/>
        </w:rPr>
        <w:t>0.50</w:t>
      </w:r>
      <w:r>
        <w:rPr>
          <w:rFonts w:hint="default" w:ascii="Times New Roman" w:hAnsi="Times New Roman" w:eastAsia="仿宋_GB2312" w:cs="Times New Roman"/>
          <w:color w:val="auto"/>
          <w:kern w:val="0"/>
          <w:sz w:val="32"/>
          <w:szCs w:val="32"/>
          <w:highlight w:val="none"/>
          <w:lang w:val="en-US" w:eastAsia="zh-CN"/>
        </w:rPr>
        <w:t>万元，主要用于：</w:t>
      </w:r>
      <w:r>
        <w:rPr>
          <w:rFonts w:hint="eastAsia" w:ascii="Times New Roman" w:hAnsi="Times New Roman" w:eastAsia="仿宋_GB2312" w:cs="Times New Roman"/>
          <w:color w:val="auto"/>
          <w:kern w:val="0"/>
          <w:sz w:val="32"/>
          <w:szCs w:val="32"/>
          <w:highlight w:val="none"/>
          <w:lang w:val="en-US" w:eastAsia="zh-CN"/>
        </w:rPr>
        <w:t>扫黄打非内容的宣传制作</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7.</w:t>
      </w:r>
      <w:r>
        <w:rPr>
          <w:rFonts w:hint="eastAsia" w:ascii="Times New Roman" w:hAnsi="Times New Roman" w:eastAsia="仿宋_GB2312" w:cs="Times New Roman"/>
          <w:color w:val="auto"/>
          <w:kern w:val="0"/>
          <w:sz w:val="32"/>
          <w:szCs w:val="32"/>
          <w:highlight w:val="none"/>
          <w:lang w:val="en-US" w:eastAsia="zh-CN"/>
        </w:rPr>
        <w:t>增资-通讯</w:t>
      </w:r>
      <w:r>
        <w:rPr>
          <w:rFonts w:hint="default" w:ascii="Times New Roman" w:hAnsi="Times New Roman" w:eastAsia="仿宋_GB2312" w:cs="Times New Roman"/>
          <w:color w:val="auto"/>
          <w:kern w:val="0"/>
          <w:sz w:val="32"/>
          <w:szCs w:val="32"/>
          <w:highlight w:val="none"/>
          <w:lang w:val="en-US" w:eastAsia="zh-CN"/>
        </w:rPr>
        <w:t>（项目）结转</w:t>
      </w:r>
      <w:r>
        <w:rPr>
          <w:rFonts w:hint="eastAsia" w:ascii="Times New Roman" w:hAnsi="Times New Roman" w:eastAsia="仿宋_GB2312" w:cs="Times New Roman"/>
          <w:color w:val="auto"/>
          <w:kern w:val="0"/>
          <w:sz w:val="32"/>
          <w:szCs w:val="32"/>
          <w:highlight w:val="none"/>
          <w:lang w:val="en-US" w:eastAsia="zh-CN"/>
        </w:rPr>
        <w:t>29.06</w:t>
      </w:r>
      <w:r>
        <w:rPr>
          <w:rFonts w:hint="default" w:ascii="Times New Roman" w:hAnsi="Times New Roman" w:eastAsia="仿宋_GB2312" w:cs="Times New Roman"/>
          <w:color w:val="auto"/>
          <w:kern w:val="0"/>
          <w:sz w:val="32"/>
          <w:szCs w:val="32"/>
          <w:highlight w:val="none"/>
          <w:lang w:val="en-US" w:eastAsia="zh-CN"/>
        </w:rPr>
        <w:t>万元，主要用于：</w:t>
      </w:r>
      <w:r>
        <w:rPr>
          <w:rFonts w:hint="eastAsia" w:eastAsia="仿宋_GB2312" w:cs="Times New Roman"/>
          <w:color w:val="auto"/>
          <w:kern w:val="0"/>
          <w:sz w:val="32"/>
          <w:szCs w:val="32"/>
          <w:highlight w:val="none"/>
          <w:lang w:val="en-US" w:eastAsia="zh-CN"/>
        </w:rPr>
        <w:t>发放在职人员绩效工资增量</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color w:val="auto"/>
          <w:highlight w:val="none"/>
          <w:lang w:val="en-US" w:eastAsia="zh-CN"/>
        </w:rPr>
      </w:pPr>
      <w:r>
        <w:rPr>
          <w:rFonts w:hint="eastAsia" w:eastAsia="仿宋_GB2312" w:cs="Times New Roman"/>
          <w:color w:val="auto"/>
          <w:kern w:val="0"/>
          <w:sz w:val="32"/>
          <w:szCs w:val="32"/>
          <w:highlight w:val="none"/>
          <w:lang w:val="en-US" w:eastAsia="zh-CN"/>
        </w:rPr>
        <w:t>8.</w:t>
      </w:r>
      <w:r>
        <w:rPr>
          <w:rFonts w:hint="eastAsia" w:ascii="Times New Roman" w:hAnsi="Times New Roman" w:eastAsia="仿宋_GB2312" w:cs="Times New Roman"/>
          <w:color w:val="auto"/>
          <w:kern w:val="0"/>
          <w:sz w:val="32"/>
          <w:szCs w:val="32"/>
          <w:highlight w:val="none"/>
          <w:lang w:val="en-US" w:eastAsia="zh-CN"/>
        </w:rPr>
        <w:t>增资-采暖</w:t>
      </w:r>
      <w:r>
        <w:rPr>
          <w:rFonts w:hint="default" w:ascii="Times New Roman" w:hAnsi="Times New Roman" w:eastAsia="仿宋_GB2312" w:cs="Times New Roman"/>
          <w:color w:val="auto"/>
          <w:kern w:val="0"/>
          <w:sz w:val="32"/>
          <w:szCs w:val="32"/>
          <w:highlight w:val="none"/>
          <w:lang w:val="en-US" w:eastAsia="zh-CN"/>
        </w:rPr>
        <w:t>（项目）结转</w:t>
      </w:r>
      <w:r>
        <w:rPr>
          <w:rFonts w:hint="eastAsia" w:eastAsia="仿宋_GB2312" w:cs="Times New Roman"/>
          <w:color w:val="auto"/>
          <w:kern w:val="0"/>
          <w:sz w:val="32"/>
          <w:szCs w:val="32"/>
          <w:highlight w:val="none"/>
          <w:lang w:val="en-US" w:eastAsia="zh-CN"/>
        </w:rPr>
        <w:t>44.88</w:t>
      </w:r>
      <w:r>
        <w:rPr>
          <w:rFonts w:hint="default" w:ascii="Times New Roman" w:hAnsi="Times New Roman" w:eastAsia="仿宋_GB2312" w:cs="Times New Roman"/>
          <w:color w:val="auto"/>
          <w:kern w:val="0"/>
          <w:sz w:val="32"/>
          <w:szCs w:val="32"/>
          <w:highlight w:val="none"/>
          <w:lang w:val="en-US" w:eastAsia="zh-CN"/>
        </w:rPr>
        <w:t>万元，主要用于：</w:t>
      </w:r>
      <w:r>
        <w:rPr>
          <w:rFonts w:hint="eastAsia" w:eastAsia="仿宋_GB2312" w:cs="Times New Roman"/>
          <w:color w:val="auto"/>
          <w:kern w:val="0"/>
          <w:sz w:val="32"/>
          <w:szCs w:val="32"/>
          <w:highlight w:val="none"/>
          <w:lang w:val="en-US" w:eastAsia="zh-CN"/>
        </w:rPr>
        <w:t>发放退休和在职人员个人采暖补贴</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楷体_GB2312" w:cs="Times New Roman"/>
          <w:b/>
          <w:bCs/>
          <w:color w:val="auto"/>
          <w:kern w:val="0"/>
          <w:sz w:val="32"/>
          <w:szCs w:val="32"/>
          <w:highlight w:val="none"/>
        </w:rPr>
      </w:pPr>
      <w:r>
        <w:rPr>
          <w:rFonts w:hint="default" w:ascii="Times New Roman" w:hAnsi="Times New Roman" w:eastAsia="楷体_GB2312" w:cs="Times New Roman"/>
          <w:b/>
          <w:bCs/>
          <w:color w:val="auto"/>
          <w:kern w:val="0"/>
          <w:sz w:val="32"/>
          <w:szCs w:val="32"/>
          <w:highlight w:val="none"/>
          <w:lang w:val="en-US" w:eastAsia="zh-Hans"/>
        </w:rPr>
        <w:t>十</w:t>
      </w:r>
      <w:r>
        <w:rPr>
          <w:rFonts w:hint="default" w:ascii="Times New Roman" w:hAnsi="Times New Roman" w:eastAsia="楷体_GB2312" w:cs="Times New Roman"/>
          <w:b/>
          <w:bCs/>
          <w:color w:val="auto"/>
          <w:kern w:val="0"/>
          <w:sz w:val="32"/>
          <w:szCs w:val="32"/>
          <w:highlight w:val="none"/>
          <w:lang w:val="en-US" w:eastAsia="zh-CN"/>
        </w:rPr>
        <w:t>三</w:t>
      </w:r>
      <w:r>
        <w:rPr>
          <w:rFonts w:hint="default" w:ascii="Times New Roman" w:hAnsi="Times New Roman" w:eastAsia="楷体_GB2312" w:cs="Times New Roman"/>
          <w:b/>
          <w:bCs/>
          <w:color w:val="auto"/>
          <w:kern w:val="0"/>
          <w:sz w:val="32"/>
          <w:szCs w:val="32"/>
          <w:highlight w:val="none"/>
        </w:rPr>
        <w:t>、其他重要事项的情况说明</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color w:val="auto"/>
          <w:kern w:val="0"/>
          <w:sz w:val="32"/>
          <w:szCs w:val="32"/>
          <w:highlight w:val="none"/>
        </w:rPr>
        <w:t>（一）</w:t>
      </w:r>
      <w:r>
        <w:rPr>
          <w:rFonts w:hint="default" w:ascii="Times New Roman" w:hAnsi="Times New Roman" w:eastAsia="仿宋_GB2312" w:cs="Times New Roman"/>
          <w:b/>
          <w:color w:val="auto"/>
          <w:kern w:val="0"/>
          <w:sz w:val="32"/>
          <w:szCs w:val="32"/>
          <w:highlight w:val="none"/>
          <w:lang w:val="en-US" w:eastAsia="zh-CN"/>
        </w:rPr>
        <w:t>单位</w:t>
      </w:r>
      <w:r>
        <w:rPr>
          <w:rFonts w:hint="default" w:ascii="Times New Roman" w:hAnsi="Times New Roman" w:eastAsia="仿宋_GB2312" w:cs="Times New Roman"/>
          <w:b/>
          <w:color w:val="auto"/>
          <w:kern w:val="0"/>
          <w:sz w:val="32"/>
          <w:szCs w:val="32"/>
          <w:highlight w:val="none"/>
        </w:rPr>
        <w:t>运行经费情况</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乌鲁木齐市第127中学单位2026年的</w:t>
      </w:r>
      <w:r>
        <w:rPr>
          <w:rFonts w:hint="default" w:ascii="Times New Roman" w:hAnsi="Times New Roman" w:eastAsia="仿宋_GB2312" w:cs="Times New Roman"/>
          <w:color w:val="auto"/>
          <w:kern w:val="0"/>
          <w:sz w:val="32"/>
          <w:szCs w:val="32"/>
          <w:highlight w:val="none"/>
          <w:lang w:val="en-US" w:eastAsia="zh-CN"/>
        </w:rPr>
        <w:t>事业单位</w:t>
      </w:r>
      <w:r>
        <w:rPr>
          <w:rFonts w:hint="default" w:ascii="Times New Roman" w:hAnsi="Times New Roman" w:eastAsia="仿宋_GB2312" w:cs="Times New Roman"/>
          <w:color w:val="auto"/>
          <w:kern w:val="0"/>
          <w:sz w:val="32"/>
          <w:szCs w:val="32"/>
          <w:highlight w:val="none"/>
        </w:rPr>
        <w:t>运行经费财政拨款预算</w:t>
      </w:r>
      <w:r>
        <w:rPr>
          <w:rFonts w:hint="eastAsia" w:eastAsia="仿宋_GB2312" w:cs="Times New Roman"/>
          <w:color w:val="auto"/>
          <w:kern w:val="0"/>
          <w:sz w:val="32"/>
          <w:szCs w:val="32"/>
          <w:highlight w:val="none"/>
          <w:lang w:val="en-US" w:eastAsia="zh-CN"/>
        </w:rPr>
        <w:t>225.38</w:t>
      </w:r>
      <w:r>
        <w:rPr>
          <w:rFonts w:hint="default" w:ascii="Times New Roman" w:hAnsi="Times New Roman" w:eastAsia="仿宋_GB2312" w:cs="Times New Roman"/>
          <w:color w:val="auto"/>
          <w:kern w:val="0"/>
          <w:sz w:val="32"/>
          <w:szCs w:val="32"/>
          <w:highlight w:val="none"/>
        </w:rPr>
        <w:t>万元，比上年预算</w:t>
      </w:r>
      <w:r>
        <w:rPr>
          <w:rFonts w:hint="default" w:ascii="Times New Roman" w:hAnsi="Times New Roman" w:eastAsia="仿宋_GB2312" w:cs="Times New Roman"/>
          <w:color w:val="auto"/>
          <w:kern w:val="0"/>
          <w:sz w:val="32"/>
          <w:szCs w:val="32"/>
          <w:highlight w:val="none"/>
          <w:lang w:val="en-US" w:eastAsia="zh-CN"/>
        </w:rPr>
        <w:t>减少</w:t>
      </w:r>
      <w:r>
        <w:rPr>
          <w:rFonts w:hint="eastAsia" w:eastAsia="仿宋_GB2312" w:cs="Times New Roman"/>
          <w:color w:val="auto"/>
          <w:kern w:val="0"/>
          <w:sz w:val="32"/>
          <w:szCs w:val="32"/>
          <w:highlight w:val="none"/>
          <w:lang w:val="en-US" w:eastAsia="zh-CN"/>
        </w:rPr>
        <w:t>233.04</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val="en-US" w:eastAsia="zh-CN"/>
        </w:rPr>
        <w:t>下降</w:t>
      </w:r>
      <w:r>
        <w:rPr>
          <w:rFonts w:hint="eastAsia" w:eastAsia="仿宋_GB2312" w:cs="Times New Roman"/>
          <w:color w:val="auto"/>
          <w:kern w:val="0"/>
          <w:sz w:val="32"/>
          <w:szCs w:val="32"/>
          <w:highlight w:val="none"/>
          <w:lang w:val="en-US" w:eastAsia="zh-CN"/>
        </w:rPr>
        <w:t>50.84</w:t>
      </w:r>
      <w:r>
        <w:rPr>
          <w:rFonts w:hint="default" w:ascii="Times New Roman" w:hAnsi="Times New Roman" w:eastAsia="仿宋_GB2312" w:cs="Times New Roman"/>
          <w:color w:val="auto"/>
          <w:kern w:val="0"/>
          <w:sz w:val="32"/>
          <w:szCs w:val="32"/>
          <w:highlight w:val="none"/>
        </w:rPr>
        <w:t>%。主要原因是</w:t>
      </w:r>
      <w:r>
        <w:rPr>
          <w:rFonts w:hint="eastAsia" w:eastAsia="仿宋_GB2312" w:cs="Times New Roman"/>
          <w:color w:val="auto"/>
          <w:kern w:val="0"/>
          <w:sz w:val="32"/>
          <w:szCs w:val="32"/>
          <w:highlight w:val="none"/>
          <w:lang w:val="en-US" w:eastAsia="zh-CN"/>
        </w:rPr>
        <w:t>办公费、维修维护费、专用材料费以及取暖费等经费2026年预算安排在上级转移支付资金中支付</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（二）政府采购情况</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2026</w:t>
      </w:r>
      <w:r>
        <w:rPr>
          <w:rFonts w:hint="default" w:ascii="Times New Roman" w:hAnsi="Times New Roman" w:eastAsia="仿宋_GB2312" w:cs="Times New Roman"/>
          <w:color w:val="auto"/>
          <w:kern w:val="0"/>
          <w:sz w:val="32"/>
          <w:szCs w:val="32"/>
          <w:highlight w:val="none"/>
        </w:rPr>
        <w:t>年，</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kern w:val="0"/>
          <w:sz w:val="32"/>
          <w:szCs w:val="32"/>
          <w:highlight w:val="none"/>
        </w:rPr>
        <w:t>单位政府采购预算</w:t>
      </w:r>
      <w:r>
        <w:rPr>
          <w:rFonts w:hint="eastAsia" w:eastAsia="仿宋_GB2312" w:cs="Times New Roman"/>
          <w:color w:val="auto"/>
          <w:kern w:val="0"/>
          <w:sz w:val="32"/>
          <w:szCs w:val="32"/>
          <w:highlight w:val="none"/>
          <w:lang w:val="en-US" w:eastAsia="zh-CN"/>
        </w:rPr>
        <w:t>368.63</w:t>
      </w:r>
      <w:r>
        <w:rPr>
          <w:rFonts w:hint="default" w:ascii="Times New Roman" w:hAnsi="Times New Roman" w:eastAsia="仿宋_GB2312" w:cs="Times New Roman"/>
          <w:color w:val="auto"/>
          <w:kern w:val="0"/>
          <w:sz w:val="32"/>
          <w:szCs w:val="32"/>
          <w:highlight w:val="none"/>
        </w:rPr>
        <w:t>万元，其中：政府采购货物预算</w:t>
      </w:r>
      <w:r>
        <w:rPr>
          <w:rFonts w:hint="eastAsia" w:eastAsia="仿宋_GB2312" w:cs="Times New Roman"/>
          <w:color w:val="auto"/>
          <w:kern w:val="0"/>
          <w:sz w:val="32"/>
          <w:szCs w:val="32"/>
          <w:highlight w:val="none"/>
          <w:lang w:val="en-US" w:eastAsia="zh-CN"/>
        </w:rPr>
        <w:t>49.63</w:t>
      </w:r>
      <w:r>
        <w:rPr>
          <w:rFonts w:hint="default" w:ascii="Times New Roman" w:hAnsi="Times New Roman" w:eastAsia="仿宋_GB2312" w:cs="Times New Roman"/>
          <w:color w:val="auto"/>
          <w:kern w:val="0"/>
          <w:sz w:val="32"/>
          <w:szCs w:val="32"/>
          <w:highlight w:val="none"/>
        </w:rPr>
        <w:t>万元，政府采购工程预算</w:t>
      </w:r>
      <w:r>
        <w:rPr>
          <w:rFonts w:hint="eastAsia" w:eastAsia="仿宋_GB2312" w:cs="Times New Roman"/>
          <w:color w:val="auto"/>
          <w:kern w:val="0"/>
          <w:sz w:val="32"/>
          <w:szCs w:val="32"/>
          <w:highlight w:val="none"/>
          <w:lang w:val="en-US" w:eastAsia="zh-CN"/>
        </w:rPr>
        <w:t>250.64</w:t>
      </w:r>
      <w:r>
        <w:rPr>
          <w:rFonts w:hint="default" w:ascii="Times New Roman" w:hAnsi="Times New Roman" w:eastAsia="仿宋_GB2312" w:cs="Times New Roman"/>
          <w:color w:val="auto"/>
          <w:kern w:val="0"/>
          <w:sz w:val="32"/>
          <w:szCs w:val="32"/>
          <w:highlight w:val="none"/>
        </w:rPr>
        <w:t>万元，政府采购服务预算</w:t>
      </w:r>
      <w:r>
        <w:rPr>
          <w:rFonts w:hint="eastAsia" w:eastAsia="仿宋_GB2312" w:cs="Times New Roman"/>
          <w:color w:val="auto"/>
          <w:kern w:val="0"/>
          <w:sz w:val="32"/>
          <w:szCs w:val="32"/>
          <w:highlight w:val="none"/>
          <w:lang w:val="en-US" w:eastAsia="zh-CN"/>
        </w:rPr>
        <w:t>68.36</w:t>
      </w:r>
      <w:r>
        <w:rPr>
          <w:rFonts w:hint="default" w:ascii="Times New Roman" w:hAnsi="Times New Roman" w:eastAsia="仿宋_GB2312" w:cs="Times New Roman"/>
          <w:color w:val="auto"/>
          <w:kern w:val="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highlight w:val="none"/>
          <w:lang w:eastAsia="zh-CN"/>
        </w:rPr>
      </w:pPr>
      <w:r>
        <w:rPr>
          <w:rFonts w:hint="default" w:ascii="Times New Roman" w:hAnsi="Times New Roman" w:eastAsia="仿宋_GB2312" w:cs="Times New Roman"/>
          <w:color w:val="auto"/>
          <w:kern w:val="0"/>
          <w:sz w:val="32"/>
          <w:szCs w:val="32"/>
          <w:highlight w:val="none"/>
          <w:lang w:eastAsia="zh-CN"/>
        </w:rPr>
        <w:t>2026</w:t>
      </w:r>
      <w:r>
        <w:rPr>
          <w:rFonts w:hint="default" w:ascii="Times New Roman" w:hAnsi="Times New Roman" w:eastAsia="仿宋_GB2312" w:cs="Times New Roman"/>
          <w:color w:val="auto"/>
          <w:kern w:val="0"/>
          <w:sz w:val="32"/>
          <w:szCs w:val="32"/>
          <w:highlight w:val="none"/>
        </w:rPr>
        <w:t>年，</w:t>
      </w:r>
      <w:r>
        <w:rPr>
          <w:rFonts w:hint="eastAsia" w:eastAsia="仿宋_GB2312" w:cs="Times New Roman"/>
          <w:color w:val="auto"/>
          <w:kern w:val="0"/>
          <w:sz w:val="32"/>
          <w:szCs w:val="32"/>
          <w:highlight w:val="none"/>
          <w:lang w:val="en-US" w:eastAsia="zh-CN"/>
        </w:rPr>
        <w:t>乌鲁木齐市第127中学</w:t>
      </w:r>
      <w:r>
        <w:rPr>
          <w:rFonts w:hint="default" w:ascii="Times New Roman" w:hAnsi="Times New Roman" w:eastAsia="仿宋_GB2312" w:cs="Times New Roman"/>
          <w:color w:val="auto"/>
          <w:sz w:val="32"/>
          <w:highlight w:val="none"/>
        </w:rPr>
        <w:t>单位面向中小企业预留政府采购项目预算金额</w:t>
      </w:r>
      <w:r>
        <w:rPr>
          <w:rFonts w:hint="eastAsia" w:eastAsia="仿宋_GB2312" w:cs="Times New Roman"/>
          <w:color w:val="auto"/>
          <w:sz w:val="32"/>
          <w:highlight w:val="none"/>
          <w:lang w:val="en-US" w:eastAsia="zh-CN"/>
        </w:rPr>
        <w:t>366.98</w:t>
      </w:r>
      <w:r>
        <w:rPr>
          <w:rFonts w:hint="default" w:ascii="Times New Roman" w:hAnsi="Times New Roman" w:eastAsia="仿宋_GB2312" w:cs="Times New Roman"/>
          <w:color w:val="auto"/>
          <w:sz w:val="32"/>
          <w:highlight w:val="none"/>
        </w:rPr>
        <w:t>万元，</w:t>
      </w:r>
      <w:r>
        <w:rPr>
          <w:rFonts w:hint="default" w:ascii="Times New Roman" w:hAnsi="Times New Roman" w:eastAsia="仿宋_GB2312" w:cs="Times New Roman"/>
          <w:color w:val="auto"/>
          <w:sz w:val="32"/>
          <w:highlight w:val="none"/>
          <w:lang w:val="en-US" w:eastAsia="zh-CN"/>
        </w:rPr>
        <w:t>其中：小微</w:t>
      </w:r>
      <w:r>
        <w:rPr>
          <w:rFonts w:hint="default" w:ascii="Times New Roman" w:hAnsi="Times New Roman" w:eastAsia="仿宋_GB2312" w:cs="Times New Roman"/>
          <w:color w:val="auto"/>
          <w:sz w:val="32"/>
          <w:highlight w:val="none"/>
        </w:rPr>
        <w:t>企业预留政府采购项目预算金额</w:t>
      </w:r>
      <w:r>
        <w:rPr>
          <w:rFonts w:hint="eastAsia" w:eastAsia="仿宋_GB2312" w:cs="Times New Roman"/>
          <w:color w:val="auto"/>
          <w:sz w:val="32"/>
          <w:highlight w:val="none"/>
          <w:lang w:val="en-US" w:eastAsia="zh-CN"/>
        </w:rPr>
        <w:t>366.98</w:t>
      </w:r>
      <w:r>
        <w:rPr>
          <w:rFonts w:hint="default" w:ascii="Times New Roman" w:hAnsi="Times New Roman" w:eastAsia="仿宋_GB2312" w:cs="Times New Roman"/>
          <w:color w:val="auto"/>
          <w:sz w:val="32"/>
          <w:highlight w:val="none"/>
        </w:rPr>
        <w:t>万元</w:t>
      </w:r>
      <w:r>
        <w:rPr>
          <w:rFonts w:hint="default" w:ascii="Times New Roman" w:hAnsi="Times New Roman" w:eastAsia="仿宋_GB2312" w:cs="Times New Roman"/>
          <w:color w:val="auto"/>
          <w:sz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b/>
          <w:color w:val="auto"/>
          <w:kern w:val="0"/>
          <w:sz w:val="32"/>
          <w:szCs w:val="32"/>
          <w:highlight w:val="none"/>
        </w:rPr>
        <w:t>（三）国有资产占用使用情况</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截至</w:t>
      </w:r>
      <w:r>
        <w:rPr>
          <w:rFonts w:hint="default" w:ascii="Times New Roman" w:hAnsi="Times New Roman" w:eastAsia="仿宋_GB2312" w:cs="Times New Roman"/>
          <w:color w:val="auto"/>
          <w:kern w:val="0"/>
          <w:sz w:val="32"/>
          <w:szCs w:val="32"/>
          <w:highlight w:val="none"/>
          <w:lang w:val="en-US" w:eastAsia="zh-CN"/>
        </w:rPr>
        <w:t>2025</w:t>
      </w:r>
      <w:r>
        <w:rPr>
          <w:rFonts w:hint="default" w:ascii="Times New Roman" w:hAnsi="Times New Roman" w:eastAsia="仿宋_GB2312" w:cs="Times New Roman"/>
          <w:color w:val="auto"/>
          <w:kern w:val="0"/>
          <w:sz w:val="32"/>
          <w:szCs w:val="32"/>
          <w:highlight w:val="none"/>
        </w:rPr>
        <w:t>年底，乌鲁木齐市第127中学单位占用使用国有资产总体情况为</w:t>
      </w:r>
      <w:r>
        <w:rPr>
          <w:rFonts w:hint="default" w:ascii="Times New Roman" w:hAnsi="Times New Roman" w:eastAsia="仿宋_GB2312" w:cs="Times New Roman"/>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1.房屋</w:t>
      </w:r>
      <w:r>
        <w:rPr>
          <w:rFonts w:hint="eastAsia" w:ascii="仿宋_GB2312" w:hAnsi="仿宋_GB2312" w:eastAsia="仿宋_GB2312" w:cs="仿宋_GB2312"/>
          <w:color w:val="auto"/>
          <w:kern w:val="0"/>
          <w:sz w:val="32"/>
          <w:szCs w:val="32"/>
          <w:highlight w:val="none"/>
        </w:rPr>
        <w:t>18332.80</w:t>
      </w:r>
      <w:r>
        <w:rPr>
          <w:rFonts w:hint="default" w:ascii="Times New Roman" w:hAnsi="Times New Roman" w:eastAsia="仿宋_GB2312" w:cs="Times New Roman"/>
          <w:color w:val="auto"/>
          <w:kern w:val="0"/>
          <w:sz w:val="32"/>
          <w:szCs w:val="32"/>
          <w:highlight w:val="none"/>
        </w:rPr>
        <w:t>平方米，价值</w:t>
      </w:r>
      <w:r>
        <w:rPr>
          <w:rFonts w:hint="eastAsia" w:ascii="仿宋_GB2312" w:hAnsi="仿宋_GB2312" w:eastAsia="仿宋_GB2312" w:cs="仿宋_GB2312"/>
          <w:color w:val="auto"/>
          <w:kern w:val="0"/>
          <w:sz w:val="32"/>
          <w:szCs w:val="32"/>
          <w:highlight w:val="none"/>
        </w:rPr>
        <w:t>3253.42</w:t>
      </w:r>
      <w:r>
        <w:rPr>
          <w:rFonts w:hint="default" w:ascii="Times New Roman" w:hAnsi="Times New Roman" w:eastAsia="仿宋_GB2312" w:cs="Times New Roman"/>
          <w:color w:val="auto"/>
          <w:kern w:val="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2.车辆</w:t>
      </w:r>
      <w:r>
        <w:rPr>
          <w:rFonts w:hint="eastAsia"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辆，价值</w:t>
      </w:r>
      <w:r>
        <w:rPr>
          <w:rFonts w:hint="eastAsia" w:ascii="仿宋_GB2312" w:hAnsi="仿宋_GB2312" w:eastAsia="仿宋_GB2312" w:cs="仿宋_GB2312"/>
          <w:color w:val="auto"/>
          <w:kern w:val="0"/>
          <w:sz w:val="32"/>
          <w:szCs w:val="32"/>
          <w:highlight w:val="none"/>
        </w:rPr>
        <w:t>22.16</w:t>
      </w:r>
      <w:r>
        <w:rPr>
          <w:rFonts w:hint="default" w:ascii="Times New Roman" w:hAnsi="Times New Roman" w:eastAsia="仿宋_GB2312" w:cs="Times New Roman"/>
          <w:color w:val="auto"/>
          <w:kern w:val="0"/>
          <w:sz w:val="32"/>
          <w:szCs w:val="32"/>
          <w:highlight w:val="none"/>
        </w:rPr>
        <w:t>万元；其中：一般公务用车</w:t>
      </w:r>
      <w:r>
        <w:rPr>
          <w:rFonts w:hint="eastAsia"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辆，价值</w:t>
      </w:r>
      <w:r>
        <w:rPr>
          <w:rFonts w:hint="eastAsia" w:ascii="仿宋_GB2312" w:hAnsi="仿宋_GB2312" w:eastAsia="仿宋_GB2312" w:cs="仿宋_GB2312"/>
          <w:color w:val="auto"/>
          <w:kern w:val="0"/>
          <w:sz w:val="32"/>
          <w:szCs w:val="32"/>
          <w:highlight w:val="none"/>
        </w:rPr>
        <w:t>22.16</w:t>
      </w:r>
      <w:r>
        <w:rPr>
          <w:rFonts w:hint="default" w:ascii="Times New Roman" w:hAnsi="Times New Roman" w:eastAsia="仿宋_GB2312" w:cs="Times New Roman"/>
          <w:color w:val="auto"/>
          <w:kern w:val="0"/>
          <w:sz w:val="32"/>
          <w:szCs w:val="32"/>
          <w:highlight w:val="none"/>
        </w:rPr>
        <w:t>万元；执法执勤用车</w:t>
      </w:r>
      <w:r>
        <w:rPr>
          <w:rFonts w:hint="eastAsia"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辆，价值</w:t>
      </w:r>
      <w:r>
        <w:rPr>
          <w:rFonts w:hint="eastAsia" w:ascii="仿宋_GB2312" w:hAnsi="宋体" w:eastAsia="仿宋_GB2312" w:cs="宋体"/>
          <w:color w:val="auto"/>
          <w:kern w:val="0"/>
          <w:sz w:val="32"/>
          <w:szCs w:val="32"/>
          <w:highlight w:val="none"/>
          <w:lang w:val="en-US" w:eastAsia="zh-CN"/>
        </w:rPr>
        <w:t>0.00</w:t>
      </w:r>
      <w:r>
        <w:rPr>
          <w:rFonts w:hint="default" w:ascii="Times New Roman" w:hAnsi="Times New Roman" w:eastAsia="仿宋_GB2312" w:cs="Times New Roman"/>
          <w:color w:val="auto"/>
          <w:kern w:val="0"/>
          <w:sz w:val="32"/>
          <w:szCs w:val="32"/>
          <w:highlight w:val="none"/>
        </w:rPr>
        <w:t>万元；其他车辆</w:t>
      </w:r>
      <w:r>
        <w:rPr>
          <w:rFonts w:hint="eastAsia"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辆，价值</w:t>
      </w:r>
      <w:r>
        <w:rPr>
          <w:rFonts w:hint="eastAsia" w:ascii="仿宋_GB2312" w:hAnsi="宋体" w:eastAsia="仿宋_GB2312" w:cs="宋体"/>
          <w:color w:val="auto"/>
          <w:kern w:val="0"/>
          <w:sz w:val="32"/>
          <w:szCs w:val="32"/>
          <w:highlight w:val="none"/>
          <w:lang w:val="en-US" w:eastAsia="zh-CN"/>
        </w:rPr>
        <w:t>0.00</w:t>
      </w:r>
      <w:r>
        <w:rPr>
          <w:rFonts w:hint="default" w:ascii="Times New Roman" w:hAnsi="Times New Roman" w:eastAsia="仿宋_GB2312" w:cs="Times New Roman"/>
          <w:color w:val="auto"/>
          <w:kern w:val="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3.办公家具价值</w:t>
      </w:r>
      <w:r>
        <w:rPr>
          <w:rFonts w:hint="eastAsia" w:eastAsia="仿宋_GB2312" w:cs="Times New Roman"/>
          <w:color w:val="auto"/>
          <w:kern w:val="0"/>
          <w:sz w:val="32"/>
          <w:szCs w:val="32"/>
          <w:highlight w:val="none"/>
          <w:lang w:val="en-US" w:eastAsia="zh-CN"/>
        </w:rPr>
        <w:t>139.66</w:t>
      </w:r>
      <w:r>
        <w:rPr>
          <w:rFonts w:hint="default" w:ascii="Times New Roman" w:hAnsi="Times New Roman" w:eastAsia="仿宋_GB2312" w:cs="Times New Roman"/>
          <w:color w:val="auto"/>
          <w:kern w:val="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4.其他资产价值</w:t>
      </w:r>
      <w:r>
        <w:rPr>
          <w:rFonts w:hint="eastAsia" w:eastAsia="仿宋_GB2312" w:cs="Times New Roman"/>
          <w:color w:val="auto"/>
          <w:kern w:val="0"/>
          <w:sz w:val="32"/>
          <w:szCs w:val="32"/>
          <w:highlight w:val="none"/>
          <w:lang w:val="en-US" w:eastAsia="zh-CN"/>
        </w:rPr>
        <w:t>1172.24</w:t>
      </w:r>
      <w:r>
        <w:rPr>
          <w:rFonts w:hint="default" w:ascii="Times New Roman" w:hAnsi="Times New Roman" w:eastAsia="仿宋_GB2312" w:cs="Times New Roman"/>
          <w:color w:val="auto"/>
          <w:kern w:val="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单位</w:t>
      </w:r>
      <w:r>
        <w:rPr>
          <w:rFonts w:hint="default" w:ascii="Times New Roman" w:hAnsi="Times New Roman" w:eastAsia="仿宋_GB2312" w:cs="Times New Roman"/>
          <w:color w:val="auto"/>
          <w:kern w:val="0"/>
          <w:sz w:val="32"/>
          <w:szCs w:val="32"/>
          <w:highlight w:val="none"/>
          <w:lang w:val="en-US" w:eastAsia="zh-CN"/>
        </w:rPr>
        <w:t>价值单价</w:t>
      </w:r>
      <w:r>
        <w:rPr>
          <w:rFonts w:hint="default" w:ascii="Times New Roman" w:hAnsi="Times New Roman" w:eastAsia="仿宋_GB2312" w:cs="Times New Roman"/>
          <w:color w:val="auto"/>
          <w:kern w:val="0"/>
          <w:sz w:val="32"/>
          <w:szCs w:val="32"/>
          <w:highlight w:val="none"/>
        </w:rPr>
        <w:t>50万元以上大型设备</w:t>
      </w:r>
      <w:r>
        <w:rPr>
          <w:rFonts w:hint="eastAsia"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台，单位</w:t>
      </w:r>
      <w:r>
        <w:rPr>
          <w:rFonts w:hint="default" w:ascii="Times New Roman" w:hAnsi="Times New Roman" w:eastAsia="仿宋_GB2312" w:cs="Times New Roman"/>
          <w:color w:val="auto"/>
          <w:kern w:val="0"/>
          <w:sz w:val="32"/>
          <w:szCs w:val="32"/>
          <w:highlight w:val="none"/>
          <w:lang w:val="en-US" w:eastAsia="zh-CN"/>
        </w:rPr>
        <w:t>价值单价</w:t>
      </w:r>
      <w:r>
        <w:rPr>
          <w:rFonts w:hint="default" w:ascii="Times New Roman" w:hAnsi="Times New Roman" w:eastAsia="仿宋_GB2312" w:cs="Times New Roman"/>
          <w:color w:val="auto"/>
          <w:kern w:val="0"/>
          <w:sz w:val="32"/>
          <w:szCs w:val="32"/>
          <w:highlight w:val="none"/>
        </w:rPr>
        <w:t>100万元以上大型设备</w:t>
      </w:r>
      <w:r>
        <w:rPr>
          <w:rFonts w:hint="eastAsia"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台。</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年单位预算未安排购置车辆经费，安排购置</w:t>
      </w:r>
      <w:r>
        <w:rPr>
          <w:rFonts w:hint="default" w:ascii="Times New Roman" w:hAnsi="Times New Roman" w:eastAsia="仿宋_GB2312" w:cs="Times New Roman"/>
          <w:color w:val="auto"/>
          <w:kern w:val="0"/>
          <w:sz w:val="32"/>
          <w:szCs w:val="32"/>
          <w:highlight w:val="none"/>
          <w:lang w:val="en-US" w:eastAsia="zh-CN"/>
        </w:rPr>
        <w:t>单价</w:t>
      </w:r>
      <w:r>
        <w:rPr>
          <w:rFonts w:hint="default" w:ascii="Times New Roman" w:hAnsi="Times New Roman" w:eastAsia="仿宋_GB2312" w:cs="Times New Roman"/>
          <w:color w:val="auto"/>
          <w:kern w:val="0"/>
          <w:sz w:val="32"/>
          <w:szCs w:val="32"/>
          <w:highlight w:val="none"/>
        </w:rPr>
        <w:t>50万元以上大型设备</w:t>
      </w:r>
      <w:r>
        <w:rPr>
          <w:rFonts w:hint="eastAsia"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台，单位</w:t>
      </w:r>
      <w:r>
        <w:rPr>
          <w:rFonts w:hint="default" w:ascii="Times New Roman" w:hAnsi="Times New Roman" w:eastAsia="仿宋_GB2312" w:cs="Times New Roman"/>
          <w:color w:val="auto"/>
          <w:kern w:val="0"/>
          <w:sz w:val="32"/>
          <w:szCs w:val="32"/>
          <w:highlight w:val="none"/>
          <w:lang w:val="en-US" w:eastAsia="zh-CN"/>
        </w:rPr>
        <w:t>单价</w:t>
      </w:r>
      <w:r>
        <w:rPr>
          <w:rFonts w:hint="default" w:ascii="Times New Roman" w:hAnsi="Times New Roman" w:eastAsia="仿宋_GB2312" w:cs="Times New Roman"/>
          <w:color w:val="auto"/>
          <w:kern w:val="0"/>
          <w:sz w:val="32"/>
          <w:szCs w:val="32"/>
          <w:highlight w:val="none"/>
        </w:rPr>
        <w:t xml:space="preserve">100万元以上大型设备 </w:t>
      </w: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 xml:space="preserve"> </w:t>
      </w:r>
      <w:r>
        <w:rPr>
          <w:rFonts w:hint="eastAsia"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台。</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b/>
          <w:color w:val="auto"/>
          <w:kern w:val="0"/>
          <w:sz w:val="32"/>
          <w:szCs w:val="32"/>
          <w:highlight w:val="none"/>
          <w:lang w:val="en-US" w:eastAsia="zh-Hans"/>
        </w:rPr>
        <w:t>（四）</w:t>
      </w:r>
      <w:r>
        <w:rPr>
          <w:rFonts w:hint="default" w:ascii="Times New Roman" w:hAnsi="Times New Roman" w:eastAsia="仿宋_GB2312" w:cs="Times New Roman"/>
          <w:b/>
          <w:color w:val="auto"/>
          <w:kern w:val="0"/>
          <w:sz w:val="32"/>
          <w:szCs w:val="32"/>
          <w:highlight w:val="none"/>
        </w:rPr>
        <w:t>预算绩效情况</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kern w:val="0"/>
          <w:sz w:val="32"/>
          <w:szCs w:val="32"/>
          <w:highlight w:val="none"/>
        </w:rPr>
      </w:pPr>
      <w:bookmarkStart w:id="0" w:name="OLE_LINK1"/>
      <w:r>
        <w:rPr>
          <w:rFonts w:hint="default" w:ascii="Times New Roman" w:hAnsi="Times New Roman" w:eastAsia="仿宋_GB2312" w:cs="Times New Roman"/>
          <w:color w:val="auto"/>
          <w:kern w:val="0"/>
          <w:sz w:val="32"/>
          <w:szCs w:val="32"/>
          <w:highlight w:val="none"/>
          <w:lang w:eastAsia="zh-CN"/>
        </w:rPr>
        <w:t>2026</w:t>
      </w:r>
      <w:r>
        <w:rPr>
          <w:rFonts w:hint="default" w:ascii="Times New Roman" w:hAnsi="Times New Roman" w:eastAsia="仿宋_GB2312" w:cs="Times New Roman"/>
          <w:color w:val="auto"/>
          <w:kern w:val="0"/>
          <w:sz w:val="32"/>
          <w:szCs w:val="32"/>
          <w:highlight w:val="none"/>
        </w:rPr>
        <w:t>年，</w:t>
      </w:r>
      <w:r>
        <w:rPr>
          <w:rFonts w:hint="default" w:ascii="Times New Roman" w:hAnsi="Times New Roman" w:eastAsia="仿宋_GB2312" w:cs="Times New Roman"/>
          <w:color w:val="auto"/>
          <w:kern w:val="0"/>
          <w:sz w:val="32"/>
          <w:szCs w:val="32"/>
          <w:highlight w:val="none"/>
          <w:lang w:val="en-US" w:eastAsia="zh-CN"/>
        </w:rPr>
        <w:t>本</w:t>
      </w:r>
      <w:r>
        <w:rPr>
          <w:rFonts w:hint="eastAsia" w:eastAsia="仿宋_GB2312" w:cs="Times New Roman"/>
          <w:color w:val="auto"/>
          <w:kern w:val="0"/>
          <w:sz w:val="32"/>
          <w:szCs w:val="32"/>
          <w:highlight w:val="none"/>
          <w:lang w:val="en-US" w:eastAsia="zh-CN"/>
        </w:rPr>
        <w:t>单位</w:t>
      </w:r>
      <w:r>
        <w:rPr>
          <w:rFonts w:hint="default" w:ascii="Times New Roman" w:hAnsi="Times New Roman" w:eastAsia="仿宋_GB2312" w:cs="Times New Roman"/>
          <w:color w:val="auto"/>
          <w:kern w:val="0"/>
          <w:sz w:val="32"/>
          <w:szCs w:val="32"/>
          <w:highlight w:val="none"/>
        </w:rPr>
        <w:t>预算绩效管理</w:t>
      </w:r>
      <w:r>
        <w:rPr>
          <w:rFonts w:hint="default" w:ascii="Times New Roman" w:hAnsi="Times New Roman" w:eastAsia="仿宋_GB2312" w:cs="Times New Roman"/>
          <w:color w:val="auto"/>
          <w:kern w:val="0"/>
          <w:sz w:val="32"/>
          <w:szCs w:val="32"/>
          <w:highlight w:val="none"/>
          <w:lang w:val="en-US" w:eastAsia="zh-CN"/>
        </w:rPr>
        <w:t>整体预算绩效目标</w:t>
      </w:r>
      <w:r>
        <w:rPr>
          <w:rFonts w:hint="eastAsia" w:eastAsia="仿宋_GB2312" w:cs="Times New Roman"/>
          <w:color w:val="auto"/>
          <w:kern w:val="0"/>
          <w:sz w:val="32"/>
          <w:szCs w:val="32"/>
          <w:highlight w:val="none"/>
          <w:lang w:val="en-US" w:eastAsia="zh-CN"/>
        </w:rPr>
        <w:t>1</w:t>
      </w:r>
      <w:r>
        <w:rPr>
          <w:rFonts w:hint="default" w:ascii="Times New Roman" w:hAnsi="Times New Roman" w:eastAsia="仿宋_GB2312" w:cs="Times New Roman"/>
          <w:color w:val="auto"/>
          <w:kern w:val="0"/>
          <w:sz w:val="32"/>
          <w:szCs w:val="32"/>
          <w:highlight w:val="none"/>
          <w:lang w:val="en-US" w:eastAsia="zh-CN"/>
        </w:rPr>
        <w:t>个，涉及预算金额</w:t>
      </w:r>
      <w:r>
        <w:rPr>
          <w:rFonts w:hint="eastAsia" w:eastAsia="仿宋_GB2312" w:cs="Times New Roman"/>
          <w:color w:val="auto"/>
          <w:kern w:val="0"/>
          <w:sz w:val="32"/>
          <w:szCs w:val="32"/>
          <w:highlight w:val="none"/>
          <w:lang w:val="en-US" w:eastAsia="zh-CN"/>
        </w:rPr>
        <w:t>4630.02</w:t>
      </w:r>
      <w:r>
        <w:rPr>
          <w:rFonts w:hint="default" w:ascii="Times New Roman" w:hAnsi="Times New Roman" w:eastAsia="仿宋_GB2312" w:cs="Times New Roman"/>
          <w:color w:val="auto"/>
          <w:kern w:val="0"/>
          <w:sz w:val="32"/>
          <w:szCs w:val="32"/>
          <w:highlight w:val="none"/>
          <w:lang w:val="en-US" w:eastAsia="zh-CN"/>
        </w:rPr>
        <w:t>万元；当年预算安排项目共</w:t>
      </w:r>
      <w:r>
        <w:rPr>
          <w:rFonts w:hint="eastAsia"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lang w:val="en-US" w:eastAsia="zh-CN"/>
        </w:rPr>
        <w:t>个，其中:</w:t>
      </w:r>
      <w:r>
        <w:rPr>
          <w:rFonts w:hint="default" w:ascii="Times New Roman" w:hAnsi="Times New Roman" w:eastAsia="仿宋_GB2312" w:cs="Times New Roman"/>
          <w:color w:val="auto"/>
          <w:kern w:val="0"/>
          <w:sz w:val="32"/>
          <w:szCs w:val="32"/>
          <w:highlight w:val="none"/>
          <w:lang w:val="en-US" w:eastAsia="zh-Hans"/>
        </w:rPr>
        <w:t>财政拨款</w:t>
      </w:r>
      <w:r>
        <w:rPr>
          <w:rFonts w:hint="default" w:ascii="Times New Roman" w:hAnsi="Times New Roman" w:eastAsia="仿宋_GB2312" w:cs="Times New Roman"/>
          <w:color w:val="auto"/>
          <w:kern w:val="0"/>
          <w:sz w:val="32"/>
          <w:szCs w:val="32"/>
          <w:highlight w:val="none"/>
        </w:rPr>
        <w:t>项目</w:t>
      </w:r>
      <w:r>
        <w:rPr>
          <w:rFonts w:hint="default" w:ascii="Times New Roman" w:hAnsi="Times New Roman" w:eastAsia="仿宋_GB2312" w:cs="Times New Roman"/>
          <w:color w:val="auto"/>
          <w:kern w:val="0"/>
          <w:sz w:val="32"/>
          <w:szCs w:val="32"/>
          <w:highlight w:val="none"/>
          <w:lang w:val="en-US" w:eastAsia="zh-CN"/>
        </w:rPr>
        <w:t>涉及预算金额</w:t>
      </w:r>
      <w:r>
        <w:rPr>
          <w:rFonts w:hint="eastAsia" w:eastAsia="仿宋_GB2312" w:cs="Times New Roman"/>
          <w:color w:val="auto"/>
          <w:kern w:val="0"/>
          <w:sz w:val="32"/>
          <w:szCs w:val="32"/>
          <w:highlight w:val="none"/>
          <w:lang w:val="en-US" w:eastAsia="zh-CN"/>
        </w:rPr>
        <w:t>535.81</w:t>
      </w:r>
      <w:r>
        <w:rPr>
          <w:rFonts w:hint="default" w:ascii="Times New Roman" w:hAnsi="Times New Roman" w:eastAsia="仿宋_GB2312" w:cs="Times New Roman"/>
          <w:color w:val="auto"/>
          <w:kern w:val="0"/>
          <w:sz w:val="32"/>
          <w:szCs w:val="32"/>
          <w:highlight w:val="none"/>
          <w:lang w:val="en-US" w:eastAsia="zh-CN"/>
        </w:rPr>
        <w:t>万元；</w:t>
      </w:r>
      <w:r>
        <w:rPr>
          <w:rFonts w:hint="default" w:ascii="Times New Roman" w:hAnsi="Times New Roman" w:eastAsia="仿宋_GB2312" w:cs="Times New Roman"/>
          <w:color w:val="auto"/>
          <w:kern w:val="0"/>
          <w:sz w:val="32"/>
          <w:szCs w:val="32"/>
          <w:highlight w:val="none"/>
          <w:lang w:val="en-US" w:eastAsia="zh-Hans"/>
        </w:rPr>
        <w:t>非财政拨款项目</w:t>
      </w:r>
      <w:r>
        <w:rPr>
          <w:rFonts w:hint="default" w:ascii="Times New Roman" w:hAnsi="Times New Roman" w:eastAsia="仿宋_GB2312" w:cs="Times New Roman"/>
          <w:color w:val="auto"/>
          <w:kern w:val="0"/>
          <w:sz w:val="32"/>
          <w:szCs w:val="32"/>
          <w:highlight w:val="none"/>
        </w:rPr>
        <w:t>涉及预算金额</w:t>
      </w:r>
      <w:r>
        <w:rPr>
          <w:rFonts w:hint="eastAsia" w:eastAsia="仿宋_GB2312" w:cs="Times New Roman"/>
          <w:color w:val="auto"/>
          <w:kern w:val="0"/>
          <w:sz w:val="32"/>
          <w:szCs w:val="32"/>
          <w:highlight w:val="none"/>
          <w:lang w:val="en-US" w:eastAsia="zh-CN"/>
        </w:rPr>
        <w:t>226.96</w:t>
      </w:r>
      <w:r>
        <w:rPr>
          <w:rFonts w:hint="default" w:ascii="Times New Roman" w:hAnsi="Times New Roman" w:eastAsia="仿宋_GB2312" w:cs="Times New Roman"/>
          <w:color w:val="auto"/>
          <w:kern w:val="0"/>
          <w:sz w:val="32"/>
          <w:szCs w:val="32"/>
          <w:highlight w:val="none"/>
        </w:rPr>
        <w:t>万元。具体情况见下表：</w:t>
      </w:r>
      <w:bookmarkEnd w:id="0"/>
    </w:p>
    <w:p>
      <w:pPr>
        <w:rPr>
          <w:rFonts w:hint="default" w:ascii="Times New Roman" w:hAnsi="Times New Roman" w:eastAsia="仿宋_GB2312" w:cs="Times New Roman"/>
          <w:color w:val="auto"/>
          <w:kern w:val="0"/>
          <w:sz w:val="32"/>
          <w:szCs w:val="32"/>
          <w:highlight w:val="none"/>
        </w:rPr>
      </w:pPr>
    </w:p>
    <w:p>
      <w:pPr>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br w:type="page"/>
      </w:r>
    </w:p>
    <w:tbl>
      <w:tblPr>
        <w:tblStyle w:val="6"/>
        <w:tblpPr w:leftFromText="180" w:rightFromText="180" w:vertAnchor="text" w:horzAnchor="page" w:tblpX="1796" w:tblpY="-851"/>
        <w:tblOverlap w:val="never"/>
        <w:tblW w:w="9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2"/>
        <w:gridCol w:w="1367"/>
        <w:gridCol w:w="1657"/>
        <w:gridCol w:w="1271"/>
        <w:gridCol w:w="2114"/>
        <w:gridCol w:w="1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9340" w:type="dxa"/>
            <w:gridSpan w:val="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color w:val="auto"/>
                <w:kern w:val="0"/>
                <w:sz w:val="32"/>
                <w:szCs w:val="32"/>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9340" w:type="dxa"/>
            <w:gridSpan w:val="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color w:val="auto"/>
                <w:kern w:val="0"/>
                <w:sz w:val="32"/>
                <w:szCs w:val="32"/>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9340" w:type="dxa"/>
            <w:gridSpan w:val="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color w:val="auto"/>
                <w:kern w:val="0"/>
                <w:sz w:val="32"/>
                <w:szCs w:val="32"/>
                <w:highlight w:val="none"/>
                <w:lang w:val="en-US" w:eastAsia="zh-CN" w:bidi="ar"/>
              </w:rPr>
            </w:pPr>
            <w:r>
              <w:rPr>
                <w:rFonts w:hint="default" w:ascii="Times New Roman" w:hAnsi="Times New Roman" w:eastAsia="仿宋_GB2312" w:cs="Times New Roman"/>
                <w:b/>
                <w:color w:val="auto"/>
                <w:kern w:val="0"/>
                <w:sz w:val="32"/>
                <w:szCs w:val="32"/>
                <w:highlight w:val="none"/>
                <w:lang w:val="en-US" w:eastAsia="zh-CN" w:bidi="ar"/>
              </w:rPr>
              <w:t>单位整体绩效目标表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340" w:type="dxa"/>
            <w:gridSpan w:val="6"/>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b/>
                <w:color w:val="auto"/>
                <w:kern w:val="0"/>
                <w:sz w:val="32"/>
                <w:szCs w:val="32"/>
                <w:highlight w:val="none"/>
                <w:lang w:val="en-US" w:eastAsia="zh-CN" w:bidi="ar"/>
              </w:rPr>
            </w:pPr>
            <w:r>
              <w:rPr>
                <w:rFonts w:hint="default" w:ascii="Times New Roman" w:hAnsi="Times New Roman" w:eastAsia="宋体" w:cs="Times New Roman"/>
                <w:i w:val="0"/>
                <w:iCs w:val="0"/>
                <w:color w:val="auto"/>
                <w:sz w:val="24"/>
                <w:szCs w:val="24"/>
                <w:highlight w:val="none"/>
                <w:u w:val="none"/>
                <w:lang w:val="en-US" w:eastAsia="zh-CN"/>
              </w:rPr>
              <w:t>（</w:t>
            </w:r>
            <w:r>
              <w:rPr>
                <w:rFonts w:hint="default" w:ascii="Times New Roman" w:hAnsi="Times New Roman" w:cs="Times New Roman"/>
                <w:i w:val="0"/>
                <w:iCs w:val="0"/>
                <w:color w:val="auto"/>
                <w:sz w:val="24"/>
                <w:szCs w:val="24"/>
                <w:highlight w:val="none"/>
                <w:u w:val="none"/>
                <w:lang w:val="en-US" w:eastAsia="zh-CN"/>
              </w:rPr>
              <w:t>2026</w:t>
            </w:r>
            <w:r>
              <w:rPr>
                <w:rFonts w:hint="default" w:ascii="Times New Roman" w:hAnsi="Times New Roman" w:eastAsia="宋体" w:cs="Times New Roman"/>
                <w:i w:val="0"/>
                <w:iCs w:val="0"/>
                <w:color w:val="auto"/>
                <w:sz w:val="24"/>
                <w:szCs w:val="24"/>
                <w:highlight w:val="none"/>
                <w:u w:val="none"/>
                <w:lang w:val="en-US" w:eastAsia="zh-CN"/>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4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部门（单位）名称（盖章）</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sz w:val="20"/>
                <w:szCs w:val="20"/>
                <w:highlight w:val="none"/>
                <w:u w:val="none"/>
              </w:rPr>
              <w:t>乌鲁木齐市第127中学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48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部门（单位）联系人</w:t>
            </w:r>
          </w:p>
        </w:tc>
        <w:tc>
          <w:tcPr>
            <w:tcW w:w="2928" w:type="dxa"/>
            <w:gridSpan w:val="2"/>
            <w:tcBorders>
              <w:top w:val="single" w:color="000000" w:sz="4" w:space="0"/>
              <w:left w:val="single" w:color="000000" w:sz="4" w:space="0"/>
              <w:bottom w:val="single" w:color="000000" w:sz="4" w:space="0"/>
              <w:right w:val="single" w:color="000000" w:sz="4" w:space="0"/>
            </w:tcBorders>
            <w:noWrap w:val="0"/>
            <w:vAlign w:val="center"/>
          </w:tcPr>
          <w:p>
            <w:pPr>
              <w:jc w:val="left"/>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sz w:val="20"/>
                <w:szCs w:val="20"/>
                <w:highlight w:val="none"/>
                <w:u w:val="none"/>
              </w:rPr>
              <w:t>董秀秀</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联系电话：</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jc w:val="both"/>
              <w:rPr>
                <w:rFonts w:hint="default" w:ascii="Times New Roman" w:hAnsi="Times New Roman" w:eastAsia="宋体" w:cs="Times New Roman"/>
                <w:i w:val="0"/>
                <w:iCs w:val="0"/>
                <w:color w:val="auto"/>
                <w:sz w:val="20"/>
                <w:szCs w:val="20"/>
                <w:highlight w:val="none"/>
                <w:u w:val="none"/>
                <w:lang w:val="en-US" w:eastAsia="zh-CN"/>
              </w:rPr>
            </w:pPr>
            <w:r>
              <w:rPr>
                <w:rFonts w:hint="eastAsia" w:cs="Times New Roman"/>
                <w:i w:val="0"/>
                <w:iCs w:val="0"/>
                <w:color w:val="auto"/>
                <w:sz w:val="20"/>
                <w:szCs w:val="20"/>
                <w:highlight w:val="none"/>
                <w:u w:val="none"/>
                <w:lang w:val="en-US" w:eastAsia="zh-CN"/>
              </w:rPr>
              <w:t>13029650990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4" w:hRule="atLeast"/>
          <w:jc w:val="center"/>
        </w:trPr>
        <w:tc>
          <w:tcPr>
            <w:tcW w:w="2489"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年度绩效目标</w:t>
            </w:r>
          </w:p>
        </w:tc>
        <w:tc>
          <w:tcPr>
            <w:tcW w:w="685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sz w:val="20"/>
                <w:szCs w:val="20"/>
                <w:highlight w:val="none"/>
                <w:u w:val="none"/>
              </w:rPr>
              <w:t>1.每月在编人员和聘用人员工资按时发放、社保公积金等正常缴纳，切实保证教职工的满意度和幸福感；2.每月水电暖经费据实支付，培训、日常采购等学校正常运行所需经费足额支出，切实保证学校教育教学工作正常开展；3.采购一批书画材料，切实保证学生有充足的阅读图书和书画用具，改善学校办学条件，满足辖区内适龄儿童的上学需求；4.每学期开展党建活动次数至少6次、每学期班主任例会6次、每学期安全演练应急4次，开展学生主题活动8次，每学期困难学生发放2次，达到教育教学正常运转，解决困难学生就学问题及相关主题活动正常开展的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2489" w:type="dxa"/>
            <w:gridSpan w:val="2"/>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年度预算（万元）</w:t>
            </w:r>
          </w:p>
        </w:tc>
        <w:tc>
          <w:tcPr>
            <w:tcW w:w="292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资金来源</w:t>
            </w:r>
          </w:p>
        </w:tc>
        <w:tc>
          <w:tcPr>
            <w:tcW w:w="392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资金总额（万元）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2489" w:type="dxa"/>
            <w:gridSpan w:val="2"/>
            <w:vMerge w:val="continue"/>
            <w:tcBorders>
              <w:left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p>
        </w:tc>
        <w:tc>
          <w:tcPr>
            <w:tcW w:w="165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财政资金（万元）</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cs="Times New Roman"/>
                <w:i w:val="0"/>
                <w:iCs w:val="0"/>
                <w:color w:val="auto"/>
                <w:kern w:val="0"/>
                <w:sz w:val="20"/>
                <w:szCs w:val="20"/>
                <w:highlight w:val="none"/>
                <w:u w:val="none"/>
                <w:lang w:val="en-US" w:eastAsia="zh-CN" w:bidi="ar"/>
              </w:rPr>
              <w:t>上级</w:t>
            </w:r>
            <w:r>
              <w:rPr>
                <w:rFonts w:hint="default" w:ascii="Times New Roman" w:hAnsi="Times New Roman" w:eastAsia="宋体" w:cs="Times New Roman"/>
                <w:i w:val="0"/>
                <w:iCs w:val="0"/>
                <w:color w:val="auto"/>
                <w:kern w:val="0"/>
                <w:sz w:val="20"/>
                <w:szCs w:val="20"/>
                <w:highlight w:val="none"/>
                <w:u w:val="none"/>
                <w:lang w:val="en-US" w:eastAsia="zh-CN" w:bidi="ar"/>
              </w:rPr>
              <w:t>安排</w:t>
            </w:r>
          </w:p>
        </w:tc>
        <w:tc>
          <w:tcPr>
            <w:tcW w:w="392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lang w:val="en-US"/>
              </w:rPr>
            </w:pPr>
            <w:r>
              <w:rPr>
                <w:rFonts w:hint="eastAsia" w:ascii="宋体" w:hAnsi="宋体" w:eastAsia="宋体" w:cs="宋体"/>
                <w:i w:val="0"/>
                <w:color w:val="auto"/>
                <w:kern w:val="0"/>
                <w:sz w:val="24"/>
                <w:szCs w:val="24"/>
                <w:highlight w:val="none"/>
                <w:u w:val="none"/>
                <w:lang w:val="en-US" w:eastAsia="zh-CN" w:bidi="ar"/>
              </w:rPr>
              <w:t>424.1</w:t>
            </w:r>
            <w:r>
              <w:rPr>
                <w:rFonts w:hint="eastAsia" w:ascii="宋体" w:hAnsi="宋体" w:cs="宋体"/>
                <w:i w:val="0"/>
                <w:color w:val="auto"/>
                <w:kern w:val="0"/>
                <w:sz w:val="24"/>
                <w:szCs w:val="24"/>
                <w:highlight w:val="none"/>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489" w:type="dxa"/>
            <w:gridSpan w:val="2"/>
            <w:vMerge w:val="continue"/>
            <w:tcBorders>
              <w:left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p>
        </w:tc>
        <w:tc>
          <w:tcPr>
            <w:tcW w:w="165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cs="Times New Roman"/>
                <w:i w:val="0"/>
                <w:iCs w:val="0"/>
                <w:color w:val="auto"/>
                <w:kern w:val="0"/>
                <w:sz w:val="20"/>
                <w:szCs w:val="20"/>
                <w:highlight w:val="none"/>
                <w:u w:val="none"/>
                <w:lang w:val="en-US" w:eastAsia="zh-CN" w:bidi="ar"/>
              </w:rPr>
              <w:t>本级</w:t>
            </w:r>
            <w:r>
              <w:rPr>
                <w:rFonts w:hint="default" w:ascii="Times New Roman" w:hAnsi="Times New Roman" w:eastAsia="宋体" w:cs="Times New Roman"/>
                <w:i w:val="0"/>
                <w:iCs w:val="0"/>
                <w:color w:val="auto"/>
                <w:kern w:val="0"/>
                <w:sz w:val="20"/>
                <w:szCs w:val="20"/>
                <w:highlight w:val="none"/>
                <w:u w:val="none"/>
                <w:lang w:val="en-US" w:eastAsia="zh-CN" w:bidi="ar"/>
              </w:rPr>
              <w:t>安排</w:t>
            </w:r>
          </w:p>
        </w:tc>
        <w:tc>
          <w:tcPr>
            <w:tcW w:w="392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3938.41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489" w:type="dxa"/>
            <w:gridSpan w:val="2"/>
            <w:vMerge w:val="continue"/>
            <w:tcBorders>
              <w:left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其他资金（万元）</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其他</w:t>
            </w:r>
          </w:p>
        </w:tc>
        <w:tc>
          <w:tcPr>
            <w:tcW w:w="392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267.51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2489" w:type="dxa"/>
            <w:gridSpan w:val="2"/>
            <w:vMerge w:val="continue"/>
            <w:tcBorders>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p>
        </w:tc>
        <w:tc>
          <w:tcPr>
            <w:tcW w:w="292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合计：</w:t>
            </w:r>
          </w:p>
        </w:tc>
        <w:tc>
          <w:tcPr>
            <w:tcW w:w="392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lang w:val="en-US" w:eastAsia="zh-CN"/>
              </w:rPr>
            </w:pPr>
            <w:r>
              <w:rPr>
                <w:rFonts w:hint="eastAsia" w:ascii="宋体" w:hAnsi="宋体" w:eastAsia="宋体" w:cs="宋体"/>
                <w:i w:val="0"/>
                <w:color w:val="auto"/>
                <w:kern w:val="0"/>
                <w:sz w:val="24"/>
                <w:szCs w:val="24"/>
                <w:highlight w:val="none"/>
                <w:u w:val="none"/>
                <w:lang w:val="en-US" w:eastAsia="zh-CN" w:bidi="ar"/>
              </w:rPr>
              <w:t>4630.02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jc w:val="center"/>
        </w:trPr>
        <w:tc>
          <w:tcPr>
            <w:tcW w:w="11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一级指标</w:t>
            </w:r>
          </w:p>
        </w:tc>
        <w:tc>
          <w:tcPr>
            <w:tcW w:w="13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二级指标</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三级指标</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指标值</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指标设定依据</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分值权重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12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履职效能</w:t>
            </w:r>
          </w:p>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p>
        </w:tc>
        <w:tc>
          <w:tcPr>
            <w:tcW w:w="13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数量指标</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每学期党建活动次数</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&gt;=6次</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学校年度工作计划</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p>
        </w:tc>
        <w:tc>
          <w:tcPr>
            <w:tcW w:w="13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数量指标</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每学期班主任例会次数</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&gt;=6次</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学校年度工作计划</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p>
        </w:tc>
        <w:tc>
          <w:tcPr>
            <w:tcW w:w="13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数量指标</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每学期安全演练应急次数</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&gt;=4次</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学校年度工作计划</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p>
        </w:tc>
        <w:tc>
          <w:tcPr>
            <w:tcW w:w="13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数量指标</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每学期困难学生发放次数</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&gt;=2次</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学校年度工作计划</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112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p>
        </w:tc>
        <w:tc>
          <w:tcPr>
            <w:tcW w:w="13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数量指标</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开展学生主题活动次数</w:t>
            </w:r>
          </w:p>
        </w:tc>
        <w:tc>
          <w:tcPr>
            <w:tcW w:w="127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&gt;=8次</w:t>
            </w:r>
          </w:p>
        </w:tc>
        <w:tc>
          <w:tcPr>
            <w:tcW w:w="21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eastAsia" w:ascii="宋体" w:hAnsi="宋体" w:eastAsia="宋体" w:cs="宋体"/>
                <w:i w:val="0"/>
                <w:color w:val="auto"/>
                <w:kern w:val="0"/>
                <w:sz w:val="24"/>
                <w:szCs w:val="24"/>
                <w:highlight w:val="none"/>
                <w:u w:val="none"/>
                <w:lang w:val="en-US" w:eastAsia="zh-CN" w:bidi="ar"/>
              </w:rPr>
              <w:t>学校年度工作计划</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15</w:t>
            </w:r>
          </w:p>
        </w:tc>
      </w:tr>
    </w:tbl>
    <w:tbl>
      <w:tblPr>
        <w:tblStyle w:val="6"/>
        <w:tblpPr w:leftFromText="180" w:rightFromText="180" w:vertAnchor="text" w:horzAnchor="page" w:tblpX="1476" w:tblpY="41"/>
        <w:tblOverlap w:val="never"/>
        <w:tblW w:w="93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7"/>
        <w:gridCol w:w="850"/>
        <w:gridCol w:w="1667"/>
        <w:gridCol w:w="883"/>
        <w:gridCol w:w="1317"/>
        <w:gridCol w:w="933"/>
        <w:gridCol w:w="800"/>
        <w:gridCol w:w="1149"/>
        <w:gridCol w:w="10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9347" w:type="dxa"/>
            <w:gridSpan w:val="9"/>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32"/>
                <w:szCs w:val="32"/>
                <w:highlight w:val="none"/>
                <w:u w:val="none"/>
              </w:rPr>
            </w:pPr>
            <w:r>
              <w:rPr>
                <w:rFonts w:hint="default" w:ascii="Times New Roman" w:hAnsi="Times New Roman" w:eastAsia="仿宋_GB2312" w:cs="Times New Roman"/>
                <w:b/>
                <w:color w:val="auto"/>
                <w:kern w:val="0"/>
                <w:sz w:val="32"/>
                <w:szCs w:val="32"/>
                <w:highlight w:val="none"/>
                <w:lang w:val="en-US" w:eastAsia="zh-CN" w:bidi="ar"/>
              </w:rPr>
              <w:t>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347" w:type="dxa"/>
            <w:gridSpan w:val="9"/>
            <w:tcBorders>
              <w:top w:val="nil"/>
              <w:left w:val="nil"/>
              <w:bottom w:val="nil"/>
              <w:right w:val="nil"/>
            </w:tcBorders>
            <w:noWrap w:val="0"/>
            <w:vAlign w:val="center"/>
          </w:tcPr>
          <w:p>
            <w:pPr>
              <w:jc w:val="center"/>
              <w:rPr>
                <w:rFonts w:hint="default" w:ascii="Times New Roman" w:hAnsi="Times New Roman" w:eastAsia="宋体" w:cs="Times New Roman"/>
                <w:i w:val="0"/>
                <w:iCs w:val="0"/>
                <w:color w:val="auto"/>
                <w:sz w:val="24"/>
                <w:szCs w:val="24"/>
                <w:highlight w:val="none"/>
                <w:u w:val="none"/>
                <w:lang w:eastAsia="zh-Hans"/>
              </w:rPr>
            </w:pPr>
            <w:r>
              <w:rPr>
                <w:rFonts w:hint="default" w:ascii="Times New Roman" w:hAnsi="Times New Roman" w:eastAsia="宋体" w:cs="Times New Roman"/>
                <w:color w:val="auto"/>
                <w:kern w:val="2"/>
                <w:sz w:val="22"/>
                <w:szCs w:val="22"/>
                <w:highlight w:val="none"/>
                <w:lang w:val="en-US" w:eastAsia="zh-Hans" w:bidi="ar-SA"/>
              </w:rPr>
              <w:t>（</w:t>
            </w:r>
            <w:r>
              <w:rPr>
                <w:rFonts w:hint="default" w:ascii="Times New Roman" w:hAnsi="Times New Roman" w:cs="Times New Roman"/>
                <w:color w:val="auto"/>
                <w:kern w:val="2"/>
                <w:sz w:val="22"/>
                <w:szCs w:val="22"/>
                <w:highlight w:val="none"/>
                <w:lang w:eastAsia="zh-CN" w:bidi="ar-SA"/>
              </w:rPr>
              <w:t>2026</w:t>
            </w:r>
            <w:r>
              <w:rPr>
                <w:rFonts w:hint="default" w:ascii="Times New Roman" w:hAnsi="Times New Roman" w:eastAsia="宋体" w:cs="Times New Roman"/>
                <w:color w:val="auto"/>
                <w:kern w:val="2"/>
                <w:sz w:val="22"/>
                <w:szCs w:val="22"/>
                <w:highlight w:val="none"/>
                <w:lang w:val="en-US" w:eastAsia="zh-Hans" w:bidi="ar-SA"/>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预算单位</w:t>
            </w:r>
          </w:p>
        </w:tc>
        <w:tc>
          <w:tcPr>
            <w:tcW w:w="7750"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乌鲁木齐市第127中学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项目名称</w:t>
            </w:r>
          </w:p>
        </w:tc>
        <w:tc>
          <w:tcPr>
            <w:tcW w:w="3867"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城乡义务教育经费</w:t>
            </w:r>
          </w:p>
        </w:tc>
        <w:tc>
          <w:tcPr>
            <w:tcW w:w="173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项目负责人</w:t>
            </w:r>
          </w:p>
        </w:tc>
        <w:tc>
          <w:tcPr>
            <w:tcW w:w="21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李涛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项目资金（万元）</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年度预算总额：</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sz w:val="20"/>
                <w:szCs w:val="20"/>
                <w:highlight w:val="none"/>
                <w:u w:val="none"/>
              </w:rPr>
              <w:t>350.16</w:t>
            </w:r>
          </w:p>
        </w:tc>
        <w:tc>
          <w:tcPr>
            <w:tcW w:w="1317"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其中：财政拨款</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sz w:val="20"/>
                <w:szCs w:val="20"/>
                <w:highlight w:val="none"/>
                <w:u w:val="none"/>
              </w:rPr>
              <w:t>350.16</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其他资金：</w:t>
            </w:r>
          </w:p>
        </w:tc>
        <w:tc>
          <w:tcPr>
            <w:tcW w:w="2150"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cs="Times New Roman"/>
                <w:i w:val="0"/>
                <w:iCs w:val="0"/>
                <w:color w:val="auto"/>
                <w:sz w:val="20"/>
                <w:szCs w:val="20"/>
                <w:highlight w:val="none"/>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项目总体目标</w:t>
            </w:r>
          </w:p>
        </w:tc>
        <w:tc>
          <w:tcPr>
            <w:tcW w:w="7750" w:type="dxa"/>
            <w:gridSpan w:val="7"/>
            <w:tcBorders>
              <w:top w:val="single" w:color="000000" w:sz="4" w:space="0"/>
              <w:left w:val="nil"/>
              <w:bottom w:val="single" w:color="000000" w:sz="4" w:space="0"/>
              <w:right w:val="single" w:color="000000" w:sz="4" w:space="0"/>
            </w:tcBorders>
            <w:noWrap w:val="0"/>
            <w:vAlign w:val="top"/>
          </w:tcPr>
          <w:p>
            <w:pPr>
              <w:jc w:val="left"/>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通过消防改造项目1次，日常维修维护项目20次、水电取暖等弥补公用经费7项、三区人才补助2次，困难学生补助2次，达到用于保障学校正常运转；校园安全；教育教学活动的正常开展；困难学生就学及提升支教教师工作幸福感、稳定支教教师的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7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一级指标</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二级指标</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三级指标</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指标值</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指标值设置依据</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上年完成值</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指标分值权重</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指标赋分规则</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产出指标</w:t>
            </w: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数量指标</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维修采购项目数量</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&gt;=20项</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历史标准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24次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nil"/>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弥补公用经费项目数量</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&gt;=7项</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历史标准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8项</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消防改造次数</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=1次</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三区人才补助次数</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&gt;=2次</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历史标准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5次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享受困难学生补助次数</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=2次</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历史标准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质量指标</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维修采购验收合格率</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=100%</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5</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nil"/>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消防改造支付率</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=100%</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5</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成本指标</w:t>
            </w: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经济成本指标</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维修采购项目成本</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&lt;=98.96万元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296.15万元</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747" w:type="dxa"/>
            <w:vMerge w:val="continue"/>
            <w:tcBorders>
              <w:top w:val="single" w:color="000000" w:sz="4" w:space="0"/>
              <w:left w:val="single" w:color="000000" w:sz="4" w:space="0"/>
              <w:bottom w:val="nil"/>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弥补公用经费项目成本</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&lt;=129.49万元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296.15万元</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消防改造项目成本</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&lt;=100万元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效益指标</w:t>
            </w: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社会效益指标</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解决我校师生消防安全问题</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有效解决</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有效解决</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10</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按评判等级赋分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解决我校家庭困难学生就学问题</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有效解决</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有效解决</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10</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按评判等级赋分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满意度指标</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满意度指标</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师生满意度</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&gt;=95%</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10</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满意度赋分</w:t>
            </w:r>
          </w:p>
        </w:tc>
        <w:tc>
          <w:tcPr>
            <w:tcW w:w="10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工作资料</w:t>
            </w:r>
          </w:p>
        </w:tc>
      </w:tr>
    </w:tbl>
    <w:p>
      <w:pPr>
        <w:rPr>
          <w:rFonts w:hint="default" w:ascii="Times New Roman" w:hAnsi="Times New Roman" w:eastAsia="仿宋_GB2312" w:cs="Times New Roman"/>
          <w:b/>
          <w:color w:val="auto"/>
          <w:kern w:val="0"/>
          <w:sz w:val="32"/>
          <w:szCs w:val="32"/>
          <w:highlight w:val="none"/>
        </w:rPr>
      </w:pPr>
    </w:p>
    <w:tbl>
      <w:tblPr>
        <w:tblStyle w:val="6"/>
        <w:tblpPr w:leftFromText="180" w:rightFromText="180" w:vertAnchor="text" w:horzAnchor="page" w:tblpX="1743" w:tblpY="47"/>
        <w:tblOverlap w:val="never"/>
        <w:tblW w:w="92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7"/>
        <w:gridCol w:w="850"/>
        <w:gridCol w:w="1567"/>
        <w:gridCol w:w="966"/>
        <w:gridCol w:w="1334"/>
        <w:gridCol w:w="933"/>
        <w:gridCol w:w="800"/>
        <w:gridCol w:w="1149"/>
        <w:gridCol w:w="9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jc w:val="center"/>
        </w:trPr>
        <w:tc>
          <w:tcPr>
            <w:tcW w:w="9260" w:type="dxa"/>
            <w:gridSpan w:val="9"/>
            <w:tcBorders>
              <w:top w:val="nil"/>
              <w:left w:val="nil"/>
              <w:bottom w:val="nil"/>
              <w:right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32"/>
                <w:szCs w:val="32"/>
                <w:highlight w:val="none"/>
                <w:u w:val="none"/>
              </w:rPr>
            </w:pPr>
            <w:r>
              <w:rPr>
                <w:rFonts w:hint="default" w:ascii="Times New Roman" w:hAnsi="Times New Roman" w:eastAsia="仿宋_GB2312" w:cs="Times New Roman"/>
                <w:b/>
                <w:color w:val="auto"/>
                <w:kern w:val="0"/>
                <w:sz w:val="32"/>
                <w:szCs w:val="32"/>
                <w:highlight w:val="none"/>
                <w:lang w:val="en-US" w:eastAsia="zh-CN" w:bidi="ar"/>
              </w:rPr>
              <w:t>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260" w:type="dxa"/>
            <w:gridSpan w:val="9"/>
            <w:tcBorders>
              <w:top w:val="nil"/>
              <w:left w:val="nil"/>
              <w:bottom w:val="nil"/>
              <w:right w:val="nil"/>
            </w:tcBorders>
            <w:noWrap w:val="0"/>
            <w:vAlign w:val="center"/>
          </w:tcPr>
          <w:p>
            <w:pPr>
              <w:jc w:val="center"/>
              <w:rPr>
                <w:rFonts w:hint="default" w:ascii="Times New Roman" w:hAnsi="Times New Roman" w:eastAsia="宋体" w:cs="Times New Roman"/>
                <w:i w:val="0"/>
                <w:iCs w:val="0"/>
                <w:color w:val="auto"/>
                <w:sz w:val="24"/>
                <w:szCs w:val="24"/>
                <w:highlight w:val="none"/>
                <w:u w:val="none"/>
                <w:lang w:eastAsia="zh-Hans"/>
              </w:rPr>
            </w:pPr>
            <w:r>
              <w:rPr>
                <w:rFonts w:hint="default" w:ascii="Times New Roman" w:hAnsi="Times New Roman" w:eastAsia="宋体" w:cs="Times New Roman"/>
                <w:color w:val="auto"/>
                <w:kern w:val="2"/>
                <w:sz w:val="22"/>
                <w:szCs w:val="22"/>
                <w:highlight w:val="none"/>
                <w:lang w:val="en-US" w:eastAsia="zh-Hans" w:bidi="ar-SA"/>
              </w:rPr>
              <w:t>（</w:t>
            </w:r>
            <w:r>
              <w:rPr>
                <w:rFonts w:hint="default" w:ascii="Times New Roman" w:hAnsi="Times New Roman" w:cs="Times New Roman"/>
                <w:color w:val="auto"/>
                <w:kern w:val="2"/>
                <w:sz w:val="22"/>
                <w:szCs w:val="22"/>
                <w:highlight w:val="none"/>
                <w:lang w:eastAsia="zh-CN" w:bidi="ar-SA"/>
              </w:rPr>
              <w:t>2026</w:t>
            </w:r>
            <w:r>
              <w:rPr>
                <w:rFonts w:hint="default" w:ascii="Times New Roman" w:hAnsi="Times New Roman" w:eastAsia="宋体" w:cs="Times New Roman"/>
                <w:color w:val="auto"/>
                <w:kern w:val="2"/>
                <w:sz w:val="22"/>
                <w:szCs w:val="22"/>
                <w:highlight w:val="none"/>
                <w:lang w:val="en-US" w:eastAsia="zh-Hans" w:bidi="ar-SA"/>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预算单位</w:t>
            </w:r>
          </w:p>
        </w:tc>
        <w:tc>
          <w:tcPr>
            <w:tcW w:w="7663"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乌鲁木齐市第127中学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项目名称</w:t>
            </w:r>
          </w:p>
        </w:tc>
        <w:tc>
          <w:tcPr>
            <w:tcW w:w="3867"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食堂维修改造等本级项目</w:t>
            </w:r>
          </w:p>
        </w:tc>
        <w:tc>
          <w:tcPr>
            <w:tcW w:w="173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项目负责人</w:t>
            </w:r>
          </w:p>
        </w:tc>
        <w:tc>
          <w:tcPr>
            <w:tcW w:w="206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李涛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项目资金（万元）</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年度预算总额：</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sz w:val="20"/>
                <w:szCs w:val="20"/>
                <w:highlight w:val="none"/>
                <w:u w:val="none"/>
              </w:rPr>
              <w:t>303.86</w:t>
            </w:r>
          </w:p>
        </w:tc>
        <w:tc>
          <w:tcPr>
            <w:tcW w:w="1334"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其中：财政拨款</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sz w:val="20"/>
                <w:szCs w:val="20"/>
                <w:highlight w:val="none"/>
                <w:u w:val="none"/>
              </w:rPr>
              <w:t>303.86</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highlight w:val="none"/>
                <w:u w:val="none"/>
              </w:rPr>
            </w:pPr>
            <w:r>
              <w:rPr>
                <w:rFonts w:hint="default" w:ascii="Times New Roman" w:hAnsi="Times New Roman" w:eastAsia="宋体" w:cs="Times New Roman"/>
                <w:i w:val="0"/>
                <w:iCs w:val="0"/>
                <w:color w:val="auto"/>
                <w:kern w:val="0"/>
                <w:sz w:val="20"/>
                <w:szCs w:val="20"/>
                <w:highlight w:val="none"/>
                <w:u w:val="none"/>
                <w:lang w:val="en-US" w:eastAsia="zh-CN" w:bidi="ar"/>
              </w:rPr>
              <w:t>其他资金：</w:t>
            </w:r>
          </w:p>
        </w:tc>
        <w:tc>
          <w:tcPr>
            <w:tcW w:w="206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宋体" w:cs="Times New Roman"/>
                <w:i w:val="0"/>
                <w:iCs w:val="0"/>
                <w:color w:val="auto"/>
                <w:sz w:val="20"/>
                <w:szCs w:val="20"/>
                <w:highlight w:val="none"/>
                <w:u w:val="none"/>
                <w:lang w:val="en-US" w:eastAsia="zh-CN"/>
              </w:rPr>
            </w:pPr>
            <w:r>
              <w:rPr>
                <w:rFonts w:hint="eastAsia" w:cs="Times New Roman"/>
                <w:i w:val="0"/>
                <w:iCs w:val="0"/>
                <w:color w:val="auto"/>
                <w:sz w:val="20"/>
                <w:szCs w:val="20"/>
                <w:highlight w:val="none"/>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jc w:val="center"/>
        </w:trPr>
        <w:tc>
          <w:tcPr>
            <w:tcW w:w="159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项目总体目标</w:t>
            </w:r>
          </w:p>
        </w:tc>
        <w:tc>
          <w:tcPr>
            <w:tcW w:w="7663" w:type="dxa"/>
            <w:gridSpan w:val="7"/>
            <w:tcBorders>
              <w:top w:val="single" w:color="000000" w:sz="4" w:space="0"/>
              <w:left w:val="nil"/>
              <w:bottom w:val="single" w:color="000000" w:sz="4" w:space="0"/>
              <w:right w:val="single" w:color="000000" w:sz="4" w:space="0"/>
            </w:tcBorders>
            <w:noWrap w:val="0"/>
            <w:vAlign w:val="top"/>
          </w:tcPr>
          <w:p>
            <w:pPr>
              <w:jc w:val="left"/>
              <w:rPr>
                <w:rFonts w:hint="default" w:ascii="Times New Roman" w:hAnsi="Times New Roman" w:eastAsia="宋体" w:cs="Times New Roman"/>
                <w:i w:val="0"/>
                <w:iCs w:val="0"/>
                <w:color w:val="auto"/>
                <w:sz w:val="18"/>
                <w:szCs w:val="18"/>
                <w:highlight w:val="none"/>
                <w:u w:val="none"/>
              </w:rPr>
            </w:pPr>
            <w:r>
              <w:rPr>
                <w:rFonts w:hint="default" w:ascii="Times New Roman" w:hAnsi="Times New Roman" w:eastAsia="宋体" w:cs="Times New Roman"/>
                <w:i w:val="0"/>
                <w:iCs w:val="0"/>
                <w:color w:val="auto"/>
                <w:sz w:val="20"/>
                <w:szCs w:val="20"/>
                <w:highlight w:val="none"/>
                <w:u w:val="none"/>
              </w:rPr>
              <w:t>通过食堂维修改造项目1次，校园安保服务项目12次、困难学生补助项目两次、优均创建设施设备购置更新项目9次、聘用教师伙食补助项目10次，达到我校食堂自营的目标、保障教师、学生在校期间安全的目标、解决我单位困难学生就学的目标及保障我单位校园环境及硬件设施正常使用的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7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一级指标</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二级指标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三级指标</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指标值</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指标值设置依据</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上年完成值</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指标分值权重</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指标赋分规则</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18"/>
                <w:szCs w:val="18"/>
                <w:highlight w:val="none"/>
                <w:u w:val="none"/>
              </w:rPr>
            </w:pPr>
            <w:r>
              <w:rPr>
                <w:rFonts w:hint="default" w:ascii="Times New Roman" w:hAnsi="Times New Roman" w:eastAsia="宋体" w:cs="Times New Roman"/>
                <w:b/>
                <w:bCs/>
                <w:i w:val="0"/>
                <w:iCs w:val="0"/>
                <w:color w:val="auto"/>
                <w:kern w:val="0"/>
                <w:sz w:val="18"/>
                <w:szCs w:val="18"/>
                <w:highlight w:val="none"/>
                <w:u w:val="none"/>
                <w:lang w:val="en-US" w:eastAsia="zh-CN" w:bidi="ar"/>
              </w:rPr>
              <w:t>佐证资料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产出指标</w:t>
            </w: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数量指标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食堂维修改造次数</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=1个</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nil"/>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维修采购次数</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&gt;=9次</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24次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保安服务次数</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=12次</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12次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享受困难学生补助次数</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=2次</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2次</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聘用教师伙食补助次数</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=10次</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6</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工作资料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质量指标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维修采购验收合格率</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=100%</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5</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continue"/>
            <w:tcBorders>
              <w:top w:val="single" w:color="000000" w:sz="4" w:space="0"/>
              <w:left w:val="single" w:color="000000" w:sz="4" w:space="0"/>
              <w:bottom w:val="nil"/>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保安人员到位率</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=100%</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100%</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5</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747" w:type="dxa"/>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成本指标</w:t>
            </w: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经济成本指标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食堂维修改造成本</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&lt;=209.35万元</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747" w:type="dxa"/>
            <w:vMerge w:val="continue"/>
            <w:tcBorders>
              <w:top w:val="single" w:color="000000" w:sz="4" w:space="0"/>
              <w:left w:val="single" w:color="000000" w:sz="4" w:space="0"/>
              <w:bottom w:val="nil"/>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维修采购成本</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&lt;=17.19万元</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239.69元</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保安服务成本</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&lt;=58.80万元</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55.88万元</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享受困难学生补助成本</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&lt;=2.05万元</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14.28万元</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聘用教师伙食补助成本</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&lt;=16.47万元</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预算支出标准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4</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按照完成比例赋分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原始凭证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效益指标</w:t>
            </w:r>
          </w:p>
        </w:tc>
        <w:tc>
          <w:tcPr>
            <w:tcW w:w="8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社会效益指标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解决我校师生在校就餐问题</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有效解决</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新增</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10</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按评判等级赋分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说明材料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8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auto"/>
                <w:sz w:val="18"/>
                <w:szCs w:val="18"/>
                <w:highlight w:val="none"/>
                <w:u w:val="none"/>
              </w:rPr>
            </w:pP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解决我校家庭困难学生就学</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有效解决</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有效解决</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10</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按评判等级赋分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说明材料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7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满意度指标</w:t>
            </w:r>
          </w:p>
        </w:tc>
        <w:tc>
          <w:tcPr>
            <w:tcW w:w="8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highlight w:val="none"/>
                <w:u w:val="none"/>
              </w:rPr>
            </w:pPr>
            <w:r>
              <w:rPr>
                <w:rFonts w:hint="eastAsia" w:ascii="宋体" w:hAnsi="宋体" w:eastAsia="宋体" w:cs="宋体"/>
                <w:i w:val="0"/>
                <w:color w:val="auto"/>
                <w:kern w:val="0"/>
                <w:sz w:val="20"/>
                <w:szCs w:val="20"/>
                <w:highlight w:val="none"/>
                <w:u w:val="none"/>
                <w:lang w:val="en-US" w:eastAsia="zh-CN" w:bidi="ar"/>
              </w:rPr>
              <w:t>满意度指标</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师生满意度</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&gt;=95%</w:t>
            </w:r>
          </w:p>
        </w:tc>
        <w:tc>
          <w:tcPr>
            <w:tcW w:w="13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计划标准</w:t>
            </w:r>
          </w:p>
        </w:tc>
        <w:tc>
          <w:tcPr>
            <w:tcW w:w="9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95%</w:t>
            </w:r>
          </w:p>
        </w:tc>
        <w:tc>
          <w:tcPr>
            <w:tcW w:w="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10</w:t>
            </w:r>
          </w:p>
        </w:tc>
        <w:tc>
          <w:tcPr>
            <w:tcW w:w="11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满意度赋分</w:t>
            </w:r>
          </w:p>
        </w:tc>
        <w:tc>
          <w:tcPr>
            <w:tcW w:w="9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说明材料</w:t>
            </w:r>
          </w:p>
        </w:tc>
      </w:tr>
    </w:tbl>
    <w:p>
      <w:pPr>
        <w:rPr>
          <w:rFonts w:hint="default" w:ascii="Times New Roman" w:hAnsi="Times New Roman" w:eastAsia="仿宋_GB2312" w:cs="Times New Roman"/>
          <w:b/>
          <w:color w:val="auto"/>
          <w:kern w:val="0"/>
          <w:sz w:val="28"/>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jc w:val="both"/>
        <w:textAlignment w:val="auto"/>
        <w:outlineLvl w:val="9"/>
        <w:rPr>
          <w:rFonts w:hint="default" w:ascii="Times New Roman" w:hAnsi="Times New Roman" w:eastAsia="楷体_GB2312" w:cs="Times New Roman"/>
          <w:b/>
          <w:color w:val="auto"/>
          <w:kern w:val="0"/>
          <w:sz w:val="32"/>
          <w:szCs w:val="32"/>
          <w:highlight w:val="none"/>
        </w:rPr>
      </w:pPr>
      <w:r>
        <w:rPr>
          <w:rFonts w:hint="default" w:ascii="Times New Roman" w:hAnsi="Times New Roman" w:eastAsia="楷体_GB2312" w:cs="Times New Roman"/>
          <w:b/>
          <w:color w:val="auto"/>
          <w:kern w:val="0"/>
          <w:sz w:val="32"/>
          <w:szCs w:val="32"/>
          <w:highlight w:val="none"/>
        </w:rPr>
        <w:t>（五）其他需说明的事项</w:t>
      </w:r>
    </w:p>
    <w:p>
      <w:pPr>
        <w:ind w:firstLine="640" w:firstLineChars="200"/>
        <w:rPr>
          <w:rFonts w:hint="eastAsia" w:eastAsia="仿宋_GB2312" w:cs="Times New Roman"/>
          <w:color w:val="auto"/>
          <w:kern w:val="0"/>
          <w:sz w:val="32"/>
          <w:szCs w:val="32"/>
          <w:highlight w:val="none"/>
          <w:lang w:val="en-US" w:eastAsia="zh-CN"/>
        </w:rPr>
      </w:pPr>
      <w:r>
        <w:rPr>
          <w:rFonts w:hint="eastAsia" w:eastAsia="仿宋_GB2312" w:cs="Times New Roman"/>
          <w:color w:val="auto"/>
          <w:kern w:val="0"/>
          <w:sz w:val="32"/>
          <w:szCs w:val="32"/>
          <w:highlight w:val="none"/>
          <w:lang w:val="en-US" w:eastAsia="zh-CN"/>
        </w:rPr>
        <w:t>本单位“城乡义务教育经费”项目2026年上年结转结余资金118.21万元与当年财政拨款预算231.95万元、非财政拨款预算0.00万元做在同一项目支出绩效目标表。</w:t>
      </w:r>
    </w:p>
    <w:p>
      <w:pPr>
        <w:ind w:firstLine="640" w:firstLineChars="200"/>
        <w:rPr>
          <w:rFonts w:hint="default" w:ascii="Times New Roman" w:hAnsi="Times New Roman" w:eastAsia="黑体"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本单位</w:t>
      </w:r>
      <w:r>
        <w:rPr>
          <w:rFonts w:hint="default" w:ascii="Times New Roman" w:hAnsi="Times New Roman" w:eastAsia="仿宋_GB2312" w:cs="Times New Roman"/>
          <w:color w:val="auto"/>
          <w:kern w:val="0"/>
          <w:sz w:val="32"/>
          <w:szCs w:val="32"/>
          <w:highlight w:val="none"/>
          <w:lang w:val="en-US" w:eastAsia="zh-CN"/>
        </w:rPr>
        <w:t>当年预算安排</w:t>
      </w:r>
      <w:r>
        <w:rPr>
          <w:rFonts w:hint="default" w:ascii="Times New Roman" w:hAnsi="Times New Roman" w:eastAsia="仿宋_GB2312" w:cs="Times New Roman"/>
          <w:color w:val="auto"/>
          <w:kern w:val="0"/>
          <w:sz w:val="32"/>
          <w:szCs w:val="32"/>
          <w:highlight w:val="none"/>
          <w:lang w:val="en-US" w:eastAsia="zh-Hans"/>
        </w:rPr>
        <w:t>非财政拨款项目</w:t>
      </w:r>
      <w:r>
        <w:rPr>
          <w:rFonts w:hint="default" w:ascii="Times New Roman" w:hAnsi="Times New Roman" w:eastAsia="仿宋_GB2312" w:cs="Times New Roman"/>
          <w:color w:val="auto"/>
          <w:kern w:val="0"/>
          <w:sz w:val="32"/>
          <w:szCs w:val="32"/>
          <w:highlight w:val="none"/>
        </w:rPr>
        <w:t>涉及预算金额</w:t>
      </w:r>
      <w:r>
        <w:rPr>
          <w:rFonts w:hint="eastAsia" w:eastAsia="仿宋_GB2312" w:cs="Times New Roman"/>
          <w:color w:val="auto"/>
          <w:kern w:val="0"/>
          <w:sz w:val="32"/>
          <w:szCs w:val="32"/>
          <w:highlight w:val="none"/>
          <w:lang w:val="en-US" w:eastAsia="zh-CN"/>
        </w:rPr>
        <w:t>226.96</w:t>
      </w:r>
      <w:r>
        <w:rPr>
          <w:rFonts w:hint="default" w:ascii="Times New Roman" w:hAnsi="Times New Roman" w:eastAsia="仿宋_GB2312" w:cs="Times New Roman"/>
          <w:color w:val="auto"/>
          <w:kern w:val="0"/>
          <w:sz w:val="32"/>
          <w:szCs w:val="32"/>
          <w:highlight w:val="none"/>
        </w:rPr>
        <w:t>万元</w:t>
      </w:r>
      <w:r>
        <w:rPr>
          <w:rFonts w:hint="eastAsia" w:eastAsia="仿宋_GB2312" w:cs="Times New Roman"/>
          <w:color w:val="auto"/>
          <w:kern w:val="0"/>
          <w:sz w:val="32"/>
          <w:szCs w:val="32"/>
          <w:highlight w:val="none"/>
          <w:lang w:eastAsia="zh-CN"/>
        </w:rPr>
        <w:t>，该项目为</w:t>
      </w:r>
      <w:r>
        <w:rPr>
          <w:rFonts w:hint="eastAsia" w:eastAsia="仿宋_GB2312" w:cs="Times New Roman"/>
          <w:color w:val="auto"/>
          <w:kern w:val="0"/>
          <w:sz w:val="32"/>
          <w:szCs w:val="32"/>
          <w:highlight w:val="none"/>
          <w:lang w:val="en-US" w:eastAsia="zh-CN"/>
        </w:rPr>
        <w:t>2026年课后服务费，为其他收入，该金额包含在整体绩效目标表中，不单独申报</w:t>
      </w:r>
      <w:r>
        <w:rPr>
          <w:rFonts w:hint="default" w:eastAsia="仿宋_GB2312" w:cs="Times New Roman"/>
          <w:color w:val="auto"/>
          <w:kern w:val="0"/>
          <w:sz w:val="32"/>
          <w:szCs w:val="32"/>
          <w:highlight w:val="none"/>
          <w:lang w:val="en-US" w:eastAsia="zh-CN"/>
        </w:rPr>
        <w:t>项目支出绩效目标</w:t>
      </w:r>
      <w:r>
        <w:rPr>
          <w:rFonts w:hint="eastAsia" w:eastAsia="仿宋_GB2312" w:cs="Times New Roman"/>
          <w:color w:val="auto"/>
          <w:kern w:val="0"/>
          <w:sz w:val="32"/>
          <w:szCs w:val="32"/>
          <w:highlight w:val="none"/>
          <w:lang w:val="en-US" w:eastAsia="zh-CN"/>
        </w:rPr>
        <w:t>。</w:t>
      </w:r>
      <w:r>
        <w:rPr>
          <w:rFonts w:hint="default" w:eastAsia="仿宋_GB2312" w:cs="Times New Roman"/>
          <w:color w:val="auto"/>
          <w:kern w:val="0"/>
          <w:sz w:val="32"/>
          <w:szCs w:val="32"/>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0" w:beforeLines="0" w:line="600" w:lineRule="exact"/>
        <w:jc w:val="center"/>
        <w:textAlignment w:val="auto"/>
        <w:outlineLvl w:val="9"/>
        <w:rPr>
          <w:rFonts w:hint="default" w:ascii="Times New Roman" w:hAnsi="Times New Roman" w:eastAsia="黑体" w:cs="Times New Roman"/>
          <w:color w:val="auto"/>
          <w:kern w:val="0"/>
          <w:sz w:val="32"/>
          <w:szCs w:val="32"/>
          <w:highlight w:val="none"/>
        </w:rPr>
      </w:pPr>
      <w:r>
        <w:rPr>
          <w:rFonts w:hint="default" w:ascii="Times New Roman" w:hAnsi="Times New Roman" w:eastAsia="黑体" w:cs="Times New Roman"/>
          <w:color w:val="auto"/>
          <w:kern w:val="0"/>
          <w:sz w:val="32"/>
          <w:szCs w:val="32"/>
          <w:highlight w:val="none"/>
        </w:rPr>
        <w:t>第四部分  名词解释</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textAlignment w:val="auto"/>
        <w:outlineLvl w:val="9"/>
        <w:rPr>
          <w:rFonts w:hint="default"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rPr>
        <w:t>一、财政拨款：</w:t>
      </w:r>
      <w:r>
        <w:rPr>
          <w:rFonts w:hint="default" w:ascii="Times New Roman" w:hAnsi="Times New Roman" w:eastAsia="仿宋_GB2312" w:cs="Times New Roman"/>
          <w:color w:val="auto"/>
          <w:sz w:val="32"/>
          <w:szCs w:val="32"/>
          <w:highlight w:val="none"/>
        </w:rPr>
        <w:t>指由一般公共预算、政府性基金预算、国有资本经营预算安排的财政拨款数。</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rPr>
        <w:t>二、一般公共预算：</w:t>
      </w:r>
      <w:r>
        <w:rPr>
          <w:rFonts w:hint="default" w:ascii="Times New Roman" w:hAnsi="Times New Roman" w:eastAsia="仿宋_GB2312" w:cs="Times New Roman"/>
          <w:color w:val="auto"/>
          <w:spacing w:val="-6"/>
          <w:sz w:val="32"/>
          <w:szCs w:val="32"/>
          <w:highlight w:val="none"/>
        </w:rPr>
        <w:t>包括公共财政拨款（补助）资金、专项收入。</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rPr>
        <w:t>三、财政专户管理资金：</w:t>
      </w:r>
      <w:r>
        <w:rPr>
          <w:rFonts w:hint="default" w:ascii="Times New Roman" w:hAnsi="Times New Roman" w:eastAsia="仿宋_GB2312" w:cs="Times New Roman"/>
          <w:color w:val="auto"/>
          <w:sz w:val="32"/>
          <w:szCs w:val="32"/>
          <w:highlight w:val="none"/>
        </w:rPr>
        <w:t>包括专户管理行政事业性收费（主要是教育收费）、其他非税收入。</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pacing w:val="-17"/>
          <w:sz w:val="32"/>
          <w:szCs w:val="32"/>
          <w:highlight w:val="none"/>
        </w:rPr>
      </w:pPr>
      <w:r>
        <w:rPr>
          <w:rFonts w:hint="default" w:ascii="Times New Roman" w:hAnsi="Times New Roman" w:eastAsia="楷体_GB2312" w:cs="Times New Roman"/>
          <w:b/>
          <w:bCs/>
          <w:color w:val="auto"/>
          <w:sz w:val="32"/>
          <w:szCs w:val="32"/>
          <w:highlight w:val="none"/>
        </w:rPr>
        <w:t>四、其他资金：</w:t>
      </w:r>
      <w:r>
        <w:rPr>
          <w:rFonts w:hint="default" w:ascii="Times New Roman" w:hAnsi="Times New Roman" w:eastAsia="仿宋_GB2312" w:cs="Times New Roman"/>
          <w:color w:val="auto"/>
          <w:spacing w:val="-17"/>
          <w:sz w:val="32"/>
          <w:szCs w:val="32"/>
          <w:highlight w:val="none"/>
        </w:rPr>
        <w:t>包括事业收入、事业经营收入、其他收入等。</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rPr>
        <w:t>五、基本支出：</w:t>
      </w:r>
      <w:r>
        <w:rPr>
          <w:rFonts w:hint="default" w:ascii="Times New Roman" w:hAnsi="Times New Roman" w:eastAsia="仿宋_GB2312" w:cs="Times New Roman"/>
          <w:color w:val="auto"/>
          <w:sz w:val="32"/>
          <w:szCs w:val="32"/>
          <w:highlight w:val="none"/>
        </w:rPr>
        <w:t>包括人员经费、公用经费（定额）。其中</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人员经费包括工资福利支出、对个人和家庭的补助。</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rPr>
        <w:t>六、项目支出：</w:t>
      </w:r>
      <w:r>
        <w:rPr>
          <w:rFonts w:hint="default" w:ascii="Times New Roman" w:hAnsi="Times New Roman" w:eastAsia="仿宋_GB2312" w:cs="Times New Roman"/>
          <w:color w:val="auto"/>
          <w:sz w:val="32"/>
          <w:szCs w:val="32"/>
          <w:highlight w:val="none"/>
        </w:rPr>
        <w:t>部门（单位）支出预算的组成部分，是</w:t>
      </w:r>
      <w:r>
        <w:rPr>
          <w:rFonts w:hint="default" w:ascii="Times New Roman" w:hAnsi="Times New Roman" w:eastAsia="仿宋_GB2312" w:cs="Times New Roman"/>
          <w:color w:val="auto"/>
          <w:sz w:val="32"/>
          <w:szCs w:val="32"/>
          <w:highlight w:val="none"/>
          <w:lang w:val="en-US" w:eastAsia="zh-Hans"/>
        </w:rPr>
        <w:t>各</w:t>
      </w:r>
      <w:r>
        <w:rPr>
          <w:rFonts w:hint="default" w:ascii="Times New Roman" w:hAnsi="Times New Roman" w:eastAsia="仿宋_GB2312" w:cs="Times New Roman"/>
          <w:color w:val="auto"/>
          <w:sz w:val="32"/>
          <w:szCs w:val="32"/>
          <w:highlight w:val="none"/>
        </w:rPr>
        <w:t>部门（单位）为完成其特定的行政任务或事业发展目标，在基本支出预算之外编制的年度项目支出计划。</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bCs/>
          <w:color w:val="auto"/>
          <w:sz w:val="32"/>
          <w:szCs w:val="32"/>
          <w:highlight w:val="none"/>
        </w:rPr>
        <w:t>七、“三公”经费：</w:t>
      </w:r>
      <w:r>
        <w:rPr>
          <w:rFonts w:hint="default" w:ascii="Times New Roman" w:hAnsi="Times New Roman" w:eastAsia="仿宋_GB2312" w:cs="Times New Roman"/>
          <w:color w:val="auto"/>
          <w:sz w:val="32"/>
          <w:szCs w:val="32"/>
          <w:highlight w:val="none"/>
        </w:rPr>
        <w:t>指</w:t>
      </w:r>
      <w:r>
        <w:rPr>
          <w:rFonts w:hint="default" w:ascii="Times New Roman" w:hAnsi="Times New Roman" w:eastAsia="仿宋_GB2312" w:cs="Times New Roman"/>
          <w:color w:val="auto"/>
          <w:sz w:val="32"/>
          <w:szCs w:val="32"/>
          <w:highlight w:val="none"/>
          <w:lang w:val="en-US" w:eastAsia="zh-CN"/>
        </w:rPr>
        <w:t>部门（单位）</w:t>
      </w:r>
      <w:r>
        <w:rPr>
          <w:rFonts w:hint="default" w:ascii="Times New Roman" w:hAnsi="Times New Roman" w:eastAsia="仿宋_GB2312" w:cs="Times New Roman"/>
          <w:color w:val="auto"/>
          <w:sz w:val="32"/>
          <w:szCs w:val="32"/>
          <w:highlight w:val="none"/>
          <w:lang w:eastAsia="zh-CN"/>
        </w:rPr>
        <w:t>因公出国（境）费用</w:t>
      </w:r>
      <w:r>
        <w:rPr>
          <w:rFonts w:hint="default" w:ascii="Times New Roman" w:hAnsi="Times New Roman" w:eastAsia="仿宋_GB2312" w:cs="Times New Roman"/>
          <w:color w:val="auto"/>
          <w:sz w:val="32"/>
          <w:szCs w:val="32"/>
          <w:highlight w:val="none"/>
        </w:rPr>
        <w:t>、公务用车购置及运行维护费和公务接待费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w:t>
      </w:r>
      <w:r>
        <w:rPr>
          <w:rFonts w:hint="default" w:ascii="Times New Roman" w:hAnsi="Times New Roman" w:eastAsia="仿宋_GB2312" w:cs="Times New Roman"/>
          <w:color w:val="auto"/>
          <w:sz w:val="32"/>
          <w:szCs w:val="32"/>
          <w:highlight w:val="none"/>
          <w:lang w:eastAsia="zh-CN"/>
        </w:rPr>
        <w:t>：因公出国（境）费用</w:t>
      </w:r>
      <w:r>
        <w:rPr>
          <w:rFonts w:hint="default" w:ascii="Times New Roman" w:hAnsi="Times New Roman" w:eastAsia="仿宋_GB2312" w:cs="Times New Roman"/>
          <w:color w:val="auto"/>
          <w:sz w:val="32"/>
          <w:szCs w:val="32"/>
          <w:highlight w:val="none"/>
        </w:rPr>
        <w:t>反映</w:t>
      </w:r>
      <w:r>
        <w:rPr>
          <w:rFonts w:hint="default" w:ascii="Times New Roman" w:hAnsi="Times New Roman" w:eastAsia="仿宋_GB2312" w:cs="Times New Roman"/>
          <w:color w:val="auto"/>
          <w:sz w:val="32"/>
          <w:szCs w:val="32"/>
          <w:highlight w:val="none"/>
          <w:lang w:val="en-US" w:eastAsia="zh-CN"/>
        </w:rPr>
        <w:t>单位公务出国（境）的国际旅费、国外城市间交通费、住宿费、伙食费、培训费、公杂费等支出</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公务用车购置反映公务用车购置支出（含车辆购置税、牌照费）；</w:t>
      </w:r>
      <w:r>
        <w:rPr>
          <w:rFonts w:hint="default" w:ascii="Times New Roman" w:hAnsi="Times New Roman" w:eastAsia="仿宋_GB2312" w:cs="Times New Roman"/>
          <w:color w:val="auto"/>
          <w:sz w:val="32"/>
          <w:szCs w:val="32"/>
          <w:highlight w:val="none"/>
        </w:rPr>
        <w:t>公务用车运行维护费反映</w:t>
      </w:r>
      <w:r>
        <w:rPr>
          <w:rFonts w:hint="default" w:ascii="Times New Roman" w:hAnsi="Times New Roman" w:eastAsia="仿宋_GB2312" w:cs="Times New Roman"/>
          <w:color w:val="auto"/>
          <w:sz w:val="32"/>
          <w:szCs w:val="32"/>
          <w:highlight w:val="none"/>
          <w:lang w:val="en-US" w:eastAsia="zh-CN"/>
        </w:rPr>
        <w:t>单位按规定保留的公务用车燃料费、新能源汽车充电费、维修费、过桥过路费、保险费、安全奖励费用等支出</w:t>
      </w:r>
      <w:r>
        <w:rPr>
          <w:rFonts w:hint="default" w:ascii="Times New Roman" w:hAnsi="Times New Roman" w:eastAsia="仿宋_GB2312" w:cs="Times New Roman"/>
          <w:color w:val="auto"/>
          <w:sz w:val="32"/>
          <w:szCs w:val="32"/>
          <w:highlight w:val="none"/>
        </w:rPr>
        <w:t>；公务接待费反映</w:t>
      </w:r>
      <w:r>
        <w:rPr>
          <w:rFonts w:hint="default" w:ascii="Times New Roman" w:hAnsi="Times New Roman" w:eastAsia="仿宋_GB2312" w:cs="Times New Roman"/>
          <w:color w:val="auto"/>
          <w:sz w:val="32"/>
          <w:szCs w:val="32"/>
          <w:highlight w:val="none"/>
          <w:lang w:val="en-US" w:eastAsia="zh-CN"/>
        </w:rPr>
        <w:t>单位</w:t>
      </w:r>
      <w:r>
        <w:rPr>
          <w:rFonts w:hint="default" w:ascii="Times New Roman" w:hAnsi="Times New Roman" w:eastAsia="仿宋_GB2312" w:cs="Times New Roman"/>
          <w:color w:val="auto"/>
          <w:sz w:val="32"/>
          <w:szCs w:val="32"/>
          <w:highlight w:val="none"/>
        </w:rPr>
        <w:t>按规定开支的各类公务接待（含外宾接待）</w:t>
      </w:r>
      <w:r>
        <w:rPr>
          <w:rFonts w:hint="default" w:ascii="Times New Roman" w:hAnsi="Times New Roman" w:eastAsia="仿宋_GB2312" w:cs="Times New Roman"/>
          <w:color w:val="auto"/>
          <w:sz w:val="32"/>
          <w:szCs w:val="32"/>
          <w:highlight w:val="none"/>
          <w:lang w:val="en-US" w:eastAsia="zh-CN"/>
        </w:rPr>
        <w:t>费用</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pacing w:val="-11"/>
          <w:sz w:val="32"/>
          <w:szCs w:val="32"/>
          <w:highlight w:val="none"/>
        </w:rPr>
      </w:pPr>
      <w:r>
        <w:rPr>
          <w:rFonts w:hint="default" w:ascii="Times New Roman" w:hAnsi="Times New Roman" w:eastAsia="楷体_GB2312" w:cs="Times New Roman"/>
          <w:b/>
          <w:bCs/>
          <w:color w:val="auto"/>
          <w:sz w:val="32"/>
          <w:szCs w:val="32"/>
          <w:highlight w:val="none"/>
        </w:rPr>
        <w:t>八、机关运行经费</w:t>
      </w:r>
      <w:r>
        <w:rPr>
          <w:rFonts w:hint="default" w:ascii="Times New Roman" w:hAnsi="Times New Roman" w:eastAsia="仿宋_GB2312" w:cs="Times New Roman"/>
          <w:color w:val="auto"/>
          <w:sz w:val="32"/>
          <w:szCs w:val="32"/>
          <w:highlight w:val="none"/>
        </w:rPr>
        <w:t>：指行政单位（含参照公务员法管理事业单位）的公用经费，包括办公及印刷费、邮电费、差旅费、会议费、日常维修费、专用材料及一般设备购置费、办公用房水电费、办公用房</w:t>
      </w:r>
      <w:r>
        <w:rPr>
          <w:rFonts w:hint="default" w:ascii="Times New Roman" w:hAnsi="Times New Roman" w:eastAsia="仿宋_GB2312" w:cs="Times New Roman"/>
          <w:color w:val="auto"/>
          <w:spacing w:val="-11"/>
          <w:sz w:val="32"/>
          <w:szCs w:val="32"/>
          <w:highlight w:val="none"/>
        </w:rPr>
        <w:t>取暖费、办公用房物业管理费、公务用车运行维护费及其他费用。</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3" w:firstLineChars="200"/>
        <w:jc w:val="both"/>
        <w:textAlignment w:val="auto"/>
        <w:outlineLvl w:val="9"/>
        <w:rPr>
          <w:rFonts w:hint="default" w:ascii="Times New Roman" w:hAnsi="Times New Roman" w:eastAsia="仿宋_GB2312" w:cs="Times New Roman"/>
          <w:color w:val="auto"/>
          <w:spacing w:val="-11"/>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九</w:t>
      </w:r>
      <w:r>
        <w:rPr>
          <w:rFonts w:hint="default" w:ascii="Times New Roman" w:hAnsi="Times New Roman" w:eastAsia="楷体_GB2312" w:cs="Times New Roman"/>
          <w:b/>
          <w:bCs/>
          <w:color w:val="auto"/>
          <w:sz w:val="32"/>
          <w:szCs w:val="32"/>
          <w:highlight w:val="none"/>
        </w:rPr>
        <w:t>、</w:t>
      </w:r>
      <w:r>
        <w:rPr>
          <w:rFonts w:hint="default" w:ascii="Times New Roman" w:hAnsi="Times New Roman" w:eastAsia="楷体_GB2312" w:cs="Times New Roman"/>
          <w:b/>
          <w:bCs/>
          <w:color w:val="auto"/>
          <w:sz w:val="32"/>
          <w:szCs w:val="32"/>
          <w:highlight w:val="none"/>
          <w:lang w:val="en-US" w:eastAsia="zh-CN"/>
        </w:rPr>
        <w:t>委托业务费</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反映因委托外单位办理业务而支付的委托业务费。</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rPr>
        <w:t xml:space="preserve">                            </w:t>
      </w:r>
      <w:r>
        <w:rPr>
          <w:rFonts w:hint="eastAsia" w:eastAsia="仿宋_GB2312" w:cs="Times New Roman"/>
          <w:color w:val="auto"/>
          <w:kern w:val="0"/>
          <w:sz w:val="32"/>
          <w:szCs w:val="32"/>
          <w:highlight w:val="none"/>
          <w:lang w:eastAsia="zh-CN"/>
        </w:rPr>
        <w:t>乌鲁木齐市第</w:t>
      </w:r>
      <w:r>
        <w:rPr>
          <w:rFonts w:hint="eastAsia" w:eastAsia="仿宋_GB2312" w:cs="Times New Roman"/>
          <w:color w:val="auto"/>
          <w:kern w:val="0"/>
          <w:sz w:val="32"/>
          <w:szCs w:val="32"/>
          <w:highlight w:val="none"/>
          <w:lang w:val="en-US" w:eastAsia="zh-CN"/>
        </w:rPr>
        <w:t>127中学</w:t>
      </w:r>
    </w:p>
    <w:p>
      <w:pPr>
        <w:keepNext w:val="0"/>
        <w:keepLines w:val="0"/>
        <w:pageBreakBefore w:val="0"/>
        <w:widowControl w:val="0"/>
        <w:kinsoku/>
        <w:wordWrap/>
        <w:overflowPunct/>
        <w:topLinePunct w:val="0"/>
        <w:autoSpaceDE/>
        <w:autoSpaceDN/>
        <w:bidi w:val="0"/>
        <w:adjustRightInd/>
        <w:snapToGrid/>
        <w:spacing w:before="0"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 xml:space="preserve">                           </w:t>
      </w:r>
      <w:r>
        <w:rPr>
          <w:rFonts w:hint="default" w:ascii="Times New Roman" w:hAnsi="Times New Roman" w:eastAsia="仿宋_GB2312" w:cs="Times New Roman"/>
          <w:color w:val="auto"/>
          <w:kern w:val="0"/>
          <w:sz w:val="32"/>
          <w:szCs w:val="32"/>
          <w:highlight w:val="none"/>
          <w:lang w:val="en-US" w:eastAsia="zh-CN"/>
        </w:rPr>
        <w:t xml:space="preserve"> </w:t>
      </w:r>
      <w:r>
        <w:rPr>
          <w:rFonts w:hint="default" w:ascii="Times New Roman" w:hAnsi="Times New Roman" w:eastAsia="仿宋_GB2312" w:cs="Times New Roman"/>
          <w:color w:val="auto"/>
          <w:kern w:val="0"/>
          <w:sz w:val="32"/>
          <w:szCs w:val="32"/>
          <w:highlight w:val="none"/>
        </w:rPr>
        <w:t xml:space="preserve">   </w:t>
      </w:r>
      <w:r>
        <w:rPr>
          <w:rFonts w:hint="eastAsia"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w:t>
      </w:r>
      <w:r>
        <w:rPr>
          <w:rFonts w:hint="eastAsia"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月</w:t>
      </w:r>
      <w:r>
        <w:rPr>
          <w:rFonts w:hint="eastAsia" w:eastAsia="仿宋_GB2312" w:cs="Times New Roman"/>
          <w:color w:val="auto"/>
          <w:kern w:val="0"/>
          <w:sz w:val="32"/>
          <w:szCs w:val="32"/>
          <w:highlight w:val="none"/>
          <w:lang w:val="en-US" w:eastAsia="zh-CN"/>
        </w:rPr>
        <w:t>13</w:t>
      </w:r>
      <w:r>
        <w:rPr>
          <w:rFonts w:hint="default" w:ascii="Times New Roman" w:hAnsi="Times New Roman" w:eastAsia="仿宋_GB2312" w:cs="Times New Roman"/>
          <w:color w:val="auto"/>
          <w:kern w:val="0"/>
          <w:sz w:val="32"/>
          <w:szCs w:val="32"/>
          <w:highlight w:val="none"/>
        </w:rPr>
        <w:t>日</w:t>
      </w:r>
    </w:p>
    <w:p>
      <w:pPr>
        <w:rPr>
          <w:rFonts w:hint="default" w:ascii="Times New Roman" w:hAnsi="Times New Roman" w:cs="Times New Roman"/>
          <w:color w:val="auto"/>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6-03-03T11:08:27Z" w:initials="A">
    <w:p w14:paraId="7E5F0AC6">
      <w:pPr>
        <w:pStyle w:val="3"/>
        <w:rPr>
          <w:rFonts w:hint="default" w:eastAsia="宋体"/>
          <w:lang w:val="en-US" w:eastAsia="zh-CN"/>
        </w:rPr>
      </w:pPr>
      <w:r>
        <w:rPr>
          <w:rFonts w:hint="eastAsia"/>
          <w:lang w:eastAsia="zh-CN"/>
        </w:rPr>
        <w:t>前面写的减少</w:t>
      </w:r>
      <w:r>
        <w:rPr>
          <w:rFonts w:hint="eastAsia"/>
          <w:lang w:val="en-US" w:eastAsia="zh-CN"/>
        </w:rPr>
        <w:t>135万元，后面理由写的减少100万元，前后不一致，建议优化原因，或者换个说法</w:t>
      </w:r>
    </w:p>
  </w:comment>
  <w:comment w:id="1" w:author="Administrator" w:date="2026-03-03T11:13:02Z" w:initials="A">
    <w:p w14:paraId="33553157">
      <w:pPr>
        <w:pStyle w:val="3"/>
        <w:rPr>
          <w:rFonts w:hint="default" w:eastAsia="宋体"/>
          <w:lang w:val="en-US" w:eastAsia="zh-CN"/>
        </w:rPr>
      </w:pPr>
      <w:r>
        <w:rPr>
          <w:rFonts w:hint="eastAsia"/>
          <w:lang w:eastAsia="zh-CN"/>
        </w:rPr>
        <w:t>确定增长是</w:t>
      </w:r>
      <w:r>
        <w:rPr>
          <w:rFonts w:hint="eastAsia"/>
          <w:lang w:val="en-US" w:eastAsia="zh-CN"/>
        </w:rPr>
        <w:t>0？我咋看的别的单位都填的100%</w:t>
      </w:r>
    </w:p>
  </w:comment>
  <w:comment w:id="2" w:author="Administrator" w:date="2026-03-03T11:11:39Z" w:initials="A">
    <w:p w14:paraId="77475018">
      <w:pPr>
        <w:pStyle w:val="3"/>
        <w:rPr>
          <w:rFonts w:hint="eastAsia" w:eastAsia="宋体"/>
          <w:lang w:eastAsia="zh-CN"/>
        </w:rPr>
      </w:pPr>
      <w:r>
        <w:rPr>
          <w:rFonts w:hint="eastAsia"/>
          <w:lang w:eastAsia="zh-CN"/>
        </w:rPr>
        <w:t>措辞有误，建议修改成“安排”</w:t>
      </w:r>
    </w:p>
  </w:comment>
  <w:comment w:id="4" w:author="Administrator" w:date="2025-03-13T16:08:44Z" w:initials="A">
    <w:p w14:paraId="04DB1845">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方正仿宋_GBK" w:cs="Times New Roman"/>
          <w:b w:val="0"/>
          <w:bCs w:val="0"/>
          <w:color w:val="auto"/>
          <w:spacing w:val="-6"/>
          <w:kern w:val="0"/>
          <w:sz w:val="32"/>
          <w:szCs w:val="32"/>
          <w:highlight w:val="yellow"/>
          <w:lang w:val="en-US" w:eastAsia="zh-CN"/>
        </w:rPr>
      </w:pPr>
      <w:r>
        <w:rPr>
          <w:rFonts w:hint="default" w:ascii="Times New Roman" w:hAnsi="Times New Roman" w:eastAsia="方正仿宋_GBK" w:cs="Times New Roman"/>
          <w:b w:val="0"/>
          <w:bCs w:val="0"/>
          <w:color w:val="auto"/>
          <w:spacing w:val="-6"/>
          <w:kern w:val="0"/>
          <w:sz w:val="32"/>
          <w:szCs w:val="32"/>
          <w:highlight w:val="yellow"/>
          <w:lang w:val="en-US" w:eastAsia="zh-CN"/>
        </w:rPr>
        <w:t>资金分配情况要具体到分配金额：xx费xx万元、xx费xx万元。</w:t>
      </w:r>
    </w:p>
    <w:p w14:paraId="464056DB">
      <w:pPr>
        <w:pStyle w:val="3"/>
      </w:pPr>
    </w:p>
  </w:comment>
  <w:comment w:id="3" w:author="Administrator" w:date="2026-03-03T11:19:03Z" w:initials="A">
    <w:p w14:paraId="441401D0">
      <w:pPr>
        <w:pStyle w:val="3"/>
        <w:rPr>
          <w:rFonts w:hint="eastAsia" w:eastAsia="宋体"/>
          <w:lang w:eastAsia="zh-CN"/>
        </w:rPr>
      </w:pPr>
      <w:r>
        <w:rPr>
          <w:rFonts w:hint="eastAsia"/>
          <w:lang w:eastAsia="zh-CN"/>
        </w:rPr>
        <w:t>预算批复里有几个绩效目标表，就写几个项目，项目名称要与绩效目标表保持一致，若一个绩效目标表里包含多个项目，可以在资金分配情况里具体说明</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E5F0AC6" w15:done="0"/>
  <w15:commentEx w15:paraId="33553157" w15:done="0"/>
  <w15:commentEx w15:paraId="77475018" w15:done="0"/>
  <w15:commentEx w15:paraId="464056DB" w15:done="0"/>
  <w15:commentEx w15:paraId="441401D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Arial Unicode MS"/>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6pebnPAAAA&#10;BQEAAA8AAAAAAAAAAQAgAAAAIgAAAGRycy9kb3ducmV2LnhtbFBLAQIUABQAAAAIAIdO4kCvRbY0&#10;7QEAANUDAAAOAAAAAAAAAAEAIAAAAB4BAABkcnMvZTJvRG9jLnhtbFBLBQYAAAAABgAGAFkBAAB9&#10;BQ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NJWO7QAAAA&#10;BQEAAA8AAAAAAAAAAQAgAAAAIgAAAGRycy9kb3ducmV2LnhtbFBLAQIUABQAAAAIAIdO4kCQ9Tum&#10;7AEAANUDAAAOAAAAAAAAAAEAIAAAAB8BAABkcnMvZTJvRG9jLnhtbFBLBQYAAAAABgAGAFkBAAB9&#10;BQAAAAA=&#10;">
              <v:fill on="f" focussize="0,0"/>
              <v:stroke on="f" weight="0.5pt"/>
              <v:imagedata o:title=""/>
              <o:lock v:ext="edit" aspectratio="f"/>
              <v:textbox inset="0mm,0mm,0mm,0mm" style="mso-fit-shape-to-text:t;">
                <w:txbxContent>
                  <w:p>
                    <w:pPr>
                      <w:snapToGrid w:val="0"/>
                      <w:rPr>
                        <w:sz w:val="1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2ZjlkYmU0YmQwOTdlNzkzOWFmZTkyODYyZGE1NTIifQ=="/>
  </w:docVars>
  <w:rsids>
    <w:rsidRoot w:val="10587512"/>
    <w:rsid w:val="00E41A1F"/>
    <w:rsid w:val="017B2F92"/>
    <w:rsid w:val="019803AC"/>
    <w:rsid w:val="020E507E"/>
    <w:rsid w:val="02212704"/>
    <w:rsid w:val="022C1A09"/>
    <w:rsid w:val="02732F8E"/>
    <w:rsid w:val="02CB7F49"/>
    <w:rsid w:val="0329177F"/>
    <w:rsid w:val="037800D1"/>
    <w:rsid w:val="04267B2D"/>
    <w:rsid w:val="044C330C"/>
    <w:rsid w:val="05397FD9"/>
    <w:rsid w:val="053A28DE"/>
    <w:rsid w:val="057A5F58"/>
    <w:rsid w:val="05CA273A"/>
    <w:rsid w:val="070E6657"/>
    <w:rsid w:val="07EB208F"/>
    <w:rsid w:val="07F23064"/>
    <w:rsid w:val="080E3E4F"/>
    <w:rsid w:val="08450B28"/>
    <w:rsid w:val="085602B5"/>
    <w:rsid w:val="08762705"/>
    <w:rsid w:val="088F5575"/>
    <w:rsid w:val="08E123B8"/>
    <w:rsid w:val="08E81855"/>
    <w:rsid w:val="0A251270"/>
    <w:rsid w:val="0A4168EC"/>
    <w:rsid w:val="0A8235E3"/>
    <w:rsid w:val="0AD672A7"/>
    <w:rsid w:val="0B247F12"/>
    <w:rsid w:val="0B7C3034"/>
    <w:rsid w:val="0BB320FE"/>
    <w:rsid w:val="0C0A3890"/>
    <w:rsid w:val="0C127E21"/>
    <w:rsid w:val="0CD20198"/>
    <w:rsid w:val="0CEC568C"/>
    <w:rsid w:val="0D176B5F"/>
    <w:rsid w:val="0D350DE1"/>
    <w:rsid w:val="0D6E5FD0"/>
    <w:rsid w:val="0D7B1EB1"/>
    <w:rsid w:val="0DF90060"/>
    <w:rsid w:val="0E320E7D"/>
    <w:rsid w:val="0E3FF4F5"/>
    <w:rsid w:val="0E4D10C9"/>
    <w:rsid w:val="0E7E40C2"/>
    <w:rsid w:val="0E9208E7"/>
    <w:rsid w:val="0FDA4211"/>
    <w:rsid w:val="10587512"/>
    <w:rsid w:val="105D0E37"/>
    <w:rsid w:val="106B3D05"/>
    <w:rsid w:val="10916BDA"/>
    <w:rsid w:val="10E84758"/>
    <w:rsid w:val="11036B00"/>
    <w:rsid w:val="11301FEB"/>
    <w:rsid w:val="115E1C73"/>
    <w:rsid w:val="11F94745"/>
    <w:rsid w:val="121E62E8"/>
    <w:rsid w:val="123F71AD"/>
    <w:rsid w:val="13B14447"/>
    <w:rsid w:val="14A8633C"/>
    <w:rsid w:val="14F12BD6"/>
    <w:rsid w:val="15662363"/>
    <w:rsid w:val="1697741D"/>
    <w:rsid w:val="16A82624"/>
    <w:rsid w:val="19736EC8"/>
    <w:rsid w:val="19A215AC"/>
    <w:rsid w:val="19B2362A"/>
    <w:rsid w:val="1A42420C"/>
    <w:rsid w:val="1AC437A4"/>
    <w:rsid w:val="1B153D26"/>
    <w:rsid w:val="1B766F7D"/>
    <w:rsid w:val="1B9A6CA3"/>
    <w:rsid w:val="1BEB54C3"/>
    <w:rsid w:val="1C3C6084"/>
    <w:rsid w:val="1C8C02F2"/>
    <w:rsid w:val="1CEF5CB0"/>
    <w:rsid w:val="1D3E1AFE"/>
    <w:rsid w:val="1DC91AF4"/>
    <w:rsid w:val="1DF941E4"/>
    <w:rsid w:val="1E6432D4"/>
    <w:rsid w:val="1E89232D"/>
    <w:rsid w:val="1E96A433"/>
    <w:rsid w:val="1EB61656"/>
    <w:rsid w:val="1F907D4C"/>
    <w:rsid w:val="1F9ABE79"/>
    <w:rsid w:val="1FE30DAA"/>
    <w:rsid w:val="20407429"/>
    <w:rsid w:val="20CF3CE4"/>
    <w:rsid w:val="20DD55C0"/>
    <w:rsid w:val="21357FC3"/>
    <w:rsid w:val="21D864E4"/>
    <w:rsid w:val="21F221CD"/>
    <w:rsid w:val="22DB78DD"/>
    <w:rsid w:val="232B375A"/>
    <w:rsid w:val="244D65B8"/>
    <w:rsid w:val="2492221D"/>
    <w:rsid w:val="24B42D8E"/>
    <w:rsid w:val="250855AF"/>
    <w:rsid w:val="250D3DE0"/>
    <w:rsid w:val="25277888"/>
    <w:rsid w:val="258B383C"/>
    <w:rsid w:val="263B7010"/>
    <w:rsid w:val="26637192"/>
    <w:rsid w:val="26B4291F"/>
    <w:rsid w:val="26BD282A"/>
    <w:rsid w:val="26E769FA"/>
    <w:rsid w:val="27642550"/>
    <w:rsid w:val="28660E64"/>
    <w:rsid w:val="28D9041B"/>
    <w:rsid w:val="293B2E83"/>
    <w:rsid w:val="29852351"/>
    <w:rsid w:val="29C96CBD"/>
    <w:rsid w:val="2A77C81A"/>
    <w:rsid w:val="2AFC4894"/>
    <w:rsid w:val="2C445BA9"/>
    <w:rsid w:val="2D480265"/>
    <w:rsid w:val="2D977453"/>
    <w:rsid w:val="2E870919"/>
    <w:rsid w:val="2E99443D"/>
    <w:rsid w:val="2EA87786"/>
    <w:rsid w:val="2EF22236"/>
    <w:rsid w:val="2F01153B"/>
    <w:rsid w:val="2FED29FE"/>
    <w:rsid w:val="300E1D4A"/>
    <w:rsid w:val="30561DED"/>
    <w:rsid w:val="306C431F"/>
    <w:rsid w:val="30B05F05"/>
    <w:rsid w:val="30DF2FFB"/>
    <w:rsid w:val="310F3573"/>
    <w:rsid w:val="31DD0FB8"/>
    <w:rsid w:val="31E92AAB"/>
    <w:rsid w:val="32667955"/>
    <w:rsid w:val="329E3000"/>
    <w:rsid w:val="32D560F7"/>
    <w:rsid w:val="338D5923"/>
    <w:rsid w:val="338F1BFA"/>
    <w:rsid w:val="33A76F60"/>
    <w:rsid w:val="341E7629"/>
    <w:rsid w:val="3528065D"/>
    <w:rsid w:val="35682F56"/>
    <w:rsid w:val="35F117C8"/>
    <w:rsid w:val="35FF544B"/>
    <w:rsid w:val="37857B55"/>
    <w:rsid w:val="38284F1B"/>
    <w:rsid w:val="38457835"/>
    <w:rsid w:val="39B0409D"/>
    <w:rsid w:val="39D03C02"/>
    <w:rsid w:val="3A0317C5"/>
    <w:rsid w:val="3ABD0CA2"/>
    <w:rsid w:val="3BF21AC7"/>
    <w:rsid w:val="3BF34868"/>
    <w:rsid w:val="3C013037"/>
    <w:rsid w:val="3C1969E5"/>
    <w:rsid w:val="3C566C8A"/>
    <w:rsid w:val="3CFB9353"/>
    <w:rsid w:val="3E21171A"/>
    <w:rsid w:val="3FDF4D23"/>
    <w:rsid w:val="41083B3B"/>
    <w:rsid w:val="41270465"/>
    <w:rsid w:val="41442CF7"/>
    <w:rsid w:val="41D35DE0"/>
    <w:rsid w:val="41DB2FFE"/>
    <w:rsid w:val="42E43CE2"/>
    <w:rsid w:val="42F779C3"/>
    <w:rsid w:val="43502DA9"/>
    <w:rsid w:val="43855569"/>
    <w:rsid w:val="43C26223"/>
    <w:rsid w:val="43D8307E"/>
    <w:rsid w:val="444158E4"/>
    <w:rsid w:val="44437982"/>
    <w:rsid w:val="44507CD3"/>
    <w:rsid w:val="44AF5181"/>
    <w:rsid w:val="44DA6D82"/>
    <w:rsid w:val="455A018C"/>
    <w:rsid w:val="46B02CAB"/>
    <w:rsid w:val="46CE3131"/>
    <w:rsid w:val="47EB6A98"/>
    <w:rsid w:val="490B2AA5"/>
    <w:rsid w:val="493059DD"/>
    <w:rsid w:val="494F7907"/>
    <w:rsid w:val="4AA942A7"/>
    <w:rsid w:val="4ADF73DC"/>
    <w:rsid w:val="4B1B26BD"/>
    <w:rsid w:val="4B315A3D"/>
    <w:rsid w:val="4B6E5F50"/>
    <w:rsid w:val="4C0055E5"/>
    <w:rsid w:val="4C2C6EDC"/>
    <w:rsid w:val="4C3677AE"/>
    <w:rsid w:val="4C3A3BF5"/>
    <w:rsid w:val="4C706B3A"/>
    <w:rsid w:val="4D224103"/>
    <w:rsid w:val="4D7F0617"/>
    <w:rsid w:val="4E9766FA"/>
    <w:rsid w:val="4F3B332E"/>
    <w:rsid w:val="4F9D757B"/>
    <w:rsid w:val="4FFE4B6C"/>
    <w:rsid w:val="514228A3"/>
    <w:rsid w:val="518C05C8"/>
    <w:rsid w:val="51C15CED"/>
    <w:rsid w:val="51C26390"/>
    <w:rsid w:val="52285DEB"/>
    <w:rsid w:val="52AD62F0"/>
    <w:rsid w:val="535E6E82"/>
    <w:rsid w:val="53A94D0A"/>
    <w:rsid w:val="53DD49B3"/>
    <w:rsid w:val="546308FE"/>
    <w:rsid w:val="556B94FB"/>
    <w:rsid w:val="55757FC6"/>
    <w:rsid w:val="56E735D8"/>
    <w:rsid w:val="5705147D"/>
    <w:rsid w:val="570D735E"/>
    <w:rsid w:val="571B2674"/>
    <w:rsid w:val="58575764"/>
    <w:rsid w:val="589917F1"/>
    <w:rsid w:val="59B241EC"/>
    <w:rsid w:val="59E940B2"/>
    <w:rsid w:val="5A5E27F6"/>
    <w:rsid w:val="5A704801"/>
    <w:rsid w:val="5A8C5E4D"/>
    <w:rsid w:val="5AED2A9A"/>
    <w:rsid w:val="5B101B12"/>
    <w:rsid w:val="5B106EAE"/>
    <w:rsid w:val="5B5F1994"/>
    <w:rsid w:val="5BAF0160"/>
    <w:rsid w:val="5BFFB48E"/>
    <w:rsid w:val="5C916801"/>
    <w:rsid w:val="5C920BE2"/>
    <w:rsid w:val="5D8D49BE"/>
    <w:rsid w:val="5D9E1657"/>
    <w:rsid w:val="5DA7712A"/>
    <w:rsid w:val="5DDC52C4"/>
    <w:rsid w:val="5E225DE5"/>
    <w:rsid w:val="5E257683"/>
    <w:rsid w:val="5F0D5523"/>
    <w:rsid w:val="5F2346ED"/>
    <w:rsid w:val="5F9C4169"/>
    <w:rsid w:val="608831E3"/>
    <w:rsid w:val="60DF228E"/>
    <w:rsid w:val="61086613"/>
    <w:rsid w:val="61686204"/>
    <w:rsid w:val="619B247D"/>
    <w:rsid w:val="619D080C"/>
    <w:rsid w:val="62917095"/>
    <w:rsid w:val="62987571"/>
    <w:rsid w:val="62D94346"/>
    <w:rsid w:val="62F43847"/>
    <w:rsid w:val="630E06E5"/>
    <w:rsid w:val="631E4E1C"/>
    <w:rsid w:val="6408782B"/>
    <w:rsid w:val="646B3D41"/>
    <w:rsid w:val="65322CBF"/>
    <w:rsid w:val="653C6277"/>
    <w:rsid w:val="65B35574"/>
    <w:rsid w:val="65BD2F2B"/>
    <w:rsid w:val="65C85CC6"/>
    <w:rsid w:val="661835C7"/>
    <w:rsid w:val="67BC5EBB"/>
    <w:rsid w:val="684D6A1F"/>
    <w:rsid w:val="68CC52CB"/>
    <w:rsid w:val="68DE4FFE"/>
    <w:rsid w:val="691B0000"/>
    <w:rsid w:val="694B58D7"/>
    <w:rsid w:val="69B61AD7"/>
    <w:rsid w:val="69CE4E15"/>
    <w:rsid w:val="6AAE3488"/>
    <w:rsid w:val="6B3E7E06"/>
    <w:rsid w:val="6B7F3246"/>
    <w:rsid w:val="6BBF8980"/>
    <w:rsid w:val="6BC89953"/>
    <w:rsid w:val="6BF904A6"/>
    <w:rsid w:val="6C9D571F"/>
    <w:rsid w:val="6CB5251A"/>
    <w:rsid w:val="6CD429A0"/>
    <w:rsid w:val="6D3A7527"/>
    <w:rsid w:val="6DD85BCE"/>
    <w:rsid w:val="6DEF2CEA"/>
    <w:rsid w:val="6E83027E"/>
    <w:rsid w:val="6EDF60B8"/>
    <w:rsid w:val="6EF07839"/>
    <w:rsid w:val="6F63000B"/>
    <w:rsid w:val="6F9FA908"/>
    <w:rsid w:val="6FFF046A"/>
    <w:rsid w:val="707121FD"/>
    <w:rsid w:val="70FD0AC1"/>
    <w:rsid w:val="710B11E3"/>
    <w:rsid w:val="71500A63"/>
    <w:rsid w:val="716B489A"/>
    <w:rsid w:val="717C1858"/>
    <w:rsid w:val="72B56DCF"/>
    <w:rsid w:val="72B8136F"/>
    <w:rsid w:val="72E964BC"/>
    <w:rsid w:val="735C7C42"/>
    <w:rsid w:val="73852869"/>
    <w:rsid w:val="745126A4"/>
    <w:rsid w:val="74D07EF1"/>
    <w:rsid w:val="74D41B10"/>
    <w:rsid w:val="75B570E6"/>
    <w:rsid w:val="75BF3AC1"/>
    <w:rsid w:val="75F96FD3"/>
    <w:rsid w:val="768636C5"/>
    <w:rsid w:val="76995C6B"/>
    <w:rsid w:val="76D773C6"/>
    <w:rsid w:val="7706409E"/>
    <w:rsid w:val="775F6667"/>
    <w:rsid w:val="7797777E"/>
    <w:rsid w:val="77FD2D85"/>
    <w:rsid w:val="780A1873"/>
    <w:rsid w:val="787D11B8"/>
    <w:rsid w:val="78A771BA"/>
    <w:rsid w:val="78AC6820"/>
    <w:rsid w:val="79002D6F"/>
    <w:rsid w:val="79127BE5"/>
    <w:rsid w:val="792C5912"/>
    <w:rsid w:val="7978762D"/>
    <w:rsid w:val="79E156B0"/>
    <w:rsid w:val="7A7FC8A2"/>
    <w:rsid w:val="7B6D31DA"/>
    <w:rsid w:val="7B7C15C7"/>
    <w:rsid w:val="7BDCEDC4"/>
    <w:rsid w:val="7C045045"/>
    <w:rsid w:val="7C4B3BE9"/>
    <w:rsid w:val="7C667989"/>
    <w:rsid w:val="7CBA4FE2"/>
    <w:rsid w:val="7CBACF82"/>
    <w:rsid w:val="7D1234B6"/>
    <w:rsid w:val="7D63A017"/>
    <w:rsid w:val="7D721C13"/>
    <w:rsid w:val="7DD75BA6"/>
    <w:rsid w:val="7E880152"/>
    <w:rsid w:val="7E8B30DA"/>
    <w:rsid w:val="7EF93E75"/>
    <w:rsid w:val="7EFF6E41"/>
    <w:rsid w:val="7F092700"/>
    <w:rsid w:val="7F7F96A2"/>
    <w:rsid w:val="7FBE73AF"/>
    <w:rsid w:val="7FC34A0F"/>
    <w:rsid w:val="7FEE958F"/>
    <w:rsid w:val="7FEF6704"/>
    <w:rsid w:val="7FF7E0A8"/>
    <w:rsid w:val="7FF96563"/>
    <w:rsid w:val="B17EDF18"/>
    <w:rsid w:val="B97B3AD9"/>
    <w:rsid w:val="BCBFDD54"/>
    <w:rsid w:val="BF9305A1"/>
    <w:rsid w:val="BFCF76F4"/>
    <w:rsid w:val="CEE85266"/>
    <w:rsid w:val="CFF5E465"/>
    <w:rsid w:val="DBFEF477"/>
    <w:rsid w:val="DBFFC5F9"/>
    <w:rsid w:val="DD9B4419"/>
    <w:rsid w:val="DEFFF8D9"/>
    <w:rsid w:val="DFFAEEDB"/>
    <w:rsid w:val="E77BBD0E"/>
    <w:rsid w:val="E7CA2E7F"/>
    <w:rsid w:val="E8FEEB7B"/>
    <w:rsid w:val="EBA704F5"/>
    <w:rsid w:val="EBD7A2D9"/>
    <w:rsid w:val="EFEF390A"/>
    <w:rsid w:val="EFFFFB94"/>
    <w:rsid w:val="F3A72A01"/>
    <w:rsid w:val="F57A2C9F"/>
    <w:rsid w:val="F5CF3AE1"/>
    <w:rsid w:val="F7EE4148"/>
    <w:rsid w:val="FBBF5D6E"/>
    <w:rsid w:val="FBFB7EF0"/>
    <w:rsid w:val="FDBFBBAA"/>
    <w:rsid w:val="FE9F7080"/>
    <w:rsid w:val="FEB89A8E"/>
    <w:rsid w:val="FEF7E3B5"/>
    <w:rsid w:val="FF0FA71B"/>
    <w:rsid w:val="FF59D68D"/>
    <w:rsid w:val="FF7BEC38"/>
    <w:rsid w:val="FFBDC935"/>
    <w:rsid w:val="FFBFE322"/>
    <w:rsid w:val="FFCF3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rFonts w:eastAsia="黑体"/>
      <w:snapToGrid w:val="0"/>
      <w:kern w:val="0"/>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4"/>
      <w:szCs w:val="24"/>
      <w:u w:val="none"/>
    </w:rPr>
  </w:style>
  <w:style w:type="character" w:customStyle="1" w:styleId="10">
    <w:name w:val="font5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12276</Words>
  <Characters>15686</Characters>
  <Lines>0</Lines>
  <Paragraphs>0</Paragraphs>
  <TotalTime>32</TotalTime>
  <ScaleCrop>false</ScaleCrop>
  <LinksUpToDate>false</LinksUpToDate>
  <CharactersWithSpaces>16483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2024-01-09T21:20:00Z</dcterms:created>
  <dc:creator>审核人</dc:creator>
  <cp:lastModifiedBy>Administrator</cp:lastModifiedBy>
  <dcterms:modified xsi:type="dcterms:W3CDTF">2026-06-30T16:37:01Z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F471BB11B58E4D319F02A9E41271713E_13</vt:lpwstr>
  </property>
  <property fmtid="{D5CDD505-2E9C-101B-9397-08002B2CF9AE}" pid="4" name="KSOTemplateDocerSaveRecord">
    <vt:lpwstr>eyJoZGlkIjoiOGEzNDg2NzdlZjJjNGNkMGM4NjIzNWI0ZDYwZDJkMzQiLCJ1c2VySWQiOiIzOTM2MTUzNzAifQ==</vt:lpwstr>
  </property>
</Properties>
</file>